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07DF" w14:textId="77777777" w:rsidR="00AD6B53" w:rsidRDefault="00AD6B53" w:rsidP="00565916">
      <w:pPr>
        <w:spacing w:line="360" w:lineRule="auto"/>
        <w:jc w:val="both"/>
        <w:rPr>
          <w:rFonts w:ascii="Times New Roman" w:hAnsi="Times New Roman"/>
          <w:b/>
          <w:u w:val="single"/>
        </w:rPr>
      </w:pPr>
    </w:p>
    <w:p w14:paraId="719CDE29" w14:textId="77777777" w:rsidR="00AD6B53" w:rsidRDefault="00AD6B53" w:rsidP="00565916">
      <w:pPr>
        <w:spacing w:line="360" w:lineRule="auto"/>
        <w:jc w:val="both"/>
        <w:rPr>
          <w:rFonts w:ascii="Times New Roman" w:hAnsi="Times New Roman"/>
          <w:b/>
          <w:u w:val="single"/>
        </w:rPr>
      </w:pPr>
    </w:p>
    <w:p w14:paraId="2A03C2A2" w14:textId="77777777" w:rsidR="00AD6B53" w:rsidRPr="00BD4AA6" w:rsidRDefault="00AD6B53" w:rsidP="00565916">
      <w:pPr>
        <w:spacing w:line="360" w:lineRule="auto"/>
        <w:jc w:val="both"/>
        <w:rPr>
          <w:rFonts w:ascii="Times New Roman" w:eastAsia="Calibri" w:hAnsi="Times New Roman" w:cs="Times New Roman"/>
        </w:rPr>
      </w:pPr>
    </w:p>
    <w:p w14:paraId="6D4E7E5E" w14:textId="77777777" w:rsidR="00AD6B53" w:rsidRPr="00BD4AA6" w:rsidRDefault="00AD6B53" w:rsidP="00565916">
      <w:pPr>
        <w:spacing w:line="360" w:lineRule="auto"/>
        <w:jc w:val="both"/>
        <w:rPr>
          <w:rFonts w:ascii="Times New Roman" w:eastAsia="Calibri" w:hAnsi="Times New Roman" w:cs="Times New Roman"/>
        </w:rPr>
      </w:pPr>
    </w:p>
    <w:p w14:paraId="7752BADB" w14:textId="7C7A1622" w:rsidR="00AD6B53" w:rsidRDefault="00AD6B53" w:rsidP="00565916">
      <w:pPr>
        <w:spacing w:line="360" w:lineRule="auto"/>
        <w:jc w:val="both"/>
        <w:rPr>
          <w:rFonts w:ascii="Times New Roman" w:eastAsia="Calibri" w:hAnsi="Times New Roman" w:cs="Times New Roman"/>
          <w:b/>
          <w:szCs w:val="28"/>
        </w:rPr>
      </w:pPr>
      <w:r w:rsidRPr="00BD4AA6">
        <w:rPr>
          <w:rFonts w:ascii="Times New Roman" w:eastAsia="Calibri" w:hAnsi="Times New Roman" w:cs="Times New Roman"/>
          <w:b/>
          <w:szCs w:val="28"/>
        </w:rPr>
        <w:t>REGULATORY IMPACT ANALYSIS (RIA)</w:t>
      </w:r>
    </w:p>
    <w:p w14:paraId="4EC51C7C" w14:textId="77777777" w:rsidR="00AD6B53" w:rsidRPr="00BD4AA6" w:rsidRDefault="00AD6B53" w:rsidP="00565916">
      <w:pPr>
        <w:spacing w:line="360" w:lineRule="auto"/>
        <w:jc w:val="both"/>
        <w:rPr>
          <w:rFonts w:ascii="Times New Roman" w:eastAsia="Calibri" w:hAnsi="Times New Roman" w:cs="Times New Roman"/>
          <w:b/>
          <w:szCs w:val="28"/>
        </w:rPr>
      </w:pPr>
    </w:p>
    <w:p w14:paraId="7AE2AE97" w14:textId="77777777" w:rsidR="00AD6B53" w:rsidRPr="00BD4AA6" w:rsidRDefault="00AD6B53" w:rsidP="00565916">
      <w:pPr>
        <w:spacing w:line="360" w:lineRule="auto"/>
        <w:jc w:val="both"/>
        <w:rPr>
          <w:rFonts w:ascii="Times New Roman" w:eastAsia="Calibri" w:hAnsi="Times New Roman" w:cs="Times New Roman"/>
          <w:b/>
          <w:szCs w:val="28"/>
        </w:rPr>
      </w:pPr>
      <w:r w:rsidRPr="00BD4AA6">
        <w:rPr>
          <w:rFonts w:ascii="Times New Roman" w:eastAsia="Calibri" w:hAnsi="Times New Roman" w:cs="Times New Roman"/>
          <w:b/>
          <w:szCs w:val="28"/>
        </w:rPr>
        <w:t>SAFETY, HEALTH AND WELFARE AT WORK</w:t>
      </w:r>
    </w:p>
    <w:p w14:paraId="6550C61F" w14:textId="496A2FC6" w:rsidR="00AD6B53" w:rsidRPr="00052D08" w:rsidRDefault="00AD6B53" w:rsidP="00565916">
      <w:pPr>
        <w:spacing w:line="360" w:lineRule="auto"/>
        <w:jc w:val="both"/>
        <w:rPr>
          <w:rFonts w:ascii="Times New Roman" w:eastAsia="Calibri" w:hAnsi="Times New Roman" w:cs="Times New Roman"/>
          <w:b/>
          <w:szCs w:val="28"/>
        </w:rPr>
      </w:pPr>
      <w:r w:rsidRPr="00052D08">
        <w:rPr>
          <w:rFonts w:ascii="Times New Roman" w:eastAsia="Calibri" w:hAnsi="Times New Roman" w:cs="Times New Roman"/>
          <w:b/>
          <w:szCs w:val="28"/>
        </w:rPr>
        <w:t>(</w:t>
      </w:r>
      <w:r w:rsidR="00E56042">
        <w:rPr>
          <w:rFonts w:ascii="Times New Roman" w:eastAsia="Calibri" w:hAnsi="Times New Roman" w:cs="Times New Roman"/>
          <w:b/>
          <w:szCs w:val="28"/>
        </w:rPr>
        <w:t>Electromagnetic Fields</w:t>
      </w:r>
      <w:r w:rsidRPr="00052D08">
        <w:rPr>
          <w:rFonts w:ascii="Times New Roman" w:eastAsia="Calibri" w:hAnsi="Times New Roman" w:cs="Times New Roman"/>
          <w:b/>
          <w:szCs w:val="28"/>
        </w:rPr>
        <w:t xml:space="preserve">) </w:t>
      </w:r>
      <w:proofErr w:type="gramStart"/>
      <w:r w:rsidRPr="00052D08">
        <w:rPr>
          <w:rFonts w:ascii="Times New Roman" w:eastAsia="Calibri" w:hAnsi="Times New Roman" w:cs="Times New Roman"/>
          <w:b/>
          <w:szCs w:val="28"/>
        </w:rPr>
        <w:t>REGULATIONS</w:t>
      </w:r>
      <w:r w:rsidR="004A1BF5">
        <w:rPr>
          <w:rFonts w:ascii="Times New Roman" w:eastAsia="Calibri" w:hAnsi="Times New Roman" w:cs="Times New Roman"/>
          <w:b/>
          <w:szCs w:val="28"/>
        </w:rPr>
        <w:t xml:space="preserve"> </w:t>
      </w:r>
      <w:r w:rsidR="004A1BF5">
        <w:rPr>
          <w:rFonts w:ascii="Times New Roman" w:hAnsi="Times New Roman"/>
          <w:b/>
          <w:szCs w:val="28"/>
        </w:rPr>
        <w:t xml:space="preserve"> 20</w:t>
      </w:r>
      <w:r w:rsidR="009F637A">
        <w:rPr>
          <w:rFonts w:ascii="Times New Roman" w:hAnsi="Times New Roman"/>
          <w:b/>
          <w:szCs w:val="28"/>
        </w:rPr>
        <w:t>16</w:t>
      </w:r>
      <w:proofErr w:type="gramEnd"/>
    </w:p>
    <w:p w14:paraId="66CD896C" w14:textId="4FF19C80" w:rsidR="00AD6B53" w:rsidRPr="00BD4AA6" w:rsidRDefault="00AD6B53" w:rsidP="00565916">
      <w:pPr>
        <w:spacing w:line="360" w:lineRule="auto"/>
        <w:jc w:val="both"/>
        <w:rPr>
          <w:rFonts w:ascii="Times New Roman" w:eastAsia="Calibri" w:hAnsi="Times New Roman" w:cs="Times New Roman"/>
          <w:b/>
        </w:rPr>
      </w:pPr>
      <w:r w:rsidRPr="00BD4AA6">
        <w:rPr>
          <w:rFonts w:ascii="Times New Roman" w:hAnsi="Times New Roman"/>
          <w:b/>
        </w:rPr>
        <w:t xml:space="preserve"> </w:t>
      </w:r>
      <w:r w:rsidRPr="00BD4AA6">
        <w:rPr>
          <w:rFonts w:ascii="Times New Roman" w:eastAsia="Calibri" w:hAnsi="Times New Roman" w:cs="Times New Roman"/>
          <w:b/>
        </w:rPr>
        <w:t xml:space="preserve">(S.I. No. … </w:t>
      </w:r>
      <w:proofErr w:type="gramStart"/>
      <w:r w:rsidRPr="00BD4AA6">
        <w:rPr>
          <w:rFonts w:ascii="Times New Roman" w:eastAsia="Calibri" w:hAnsi="Times New Roman" w:cs="Times New Roman"/>
          <w:b/>
        </w:rPr>
        <w:t>of</w:t>
      </w:r>
      <w:proofErr w:type="gramEnd"/>
      <w:r w:rsidRPr="00BD4AA6">
        <w:rPr>
          <w:rFonts w:ascii="Times New Roman" w:eastAsia="Calibri" w:hAnsi="Times New Roman" w:cs="Times New Roman"/>
          <w:b/>
        </w:rPr>
        <w:t xml:space="preserve"> 20</w:t>
      </w:r>
      <w:r w:rsidR="009F637A">
        <w:rPr>
          <w:rFonts w:ascii="Times New Roman" w:eastAsia="Calibri" w:hAnsi="Times New Roman" w:cs="Times New Roman"/>
          <w:b/>
        </w:rPr>
        <w:t>16</w:t>
      </w:r>
      <w:r w:rsidRPr="00BD4AA6">
        <w:rPr>
          <w:rFonts w:ascii="Times New Roman" w:eastAsia="Calibri" w:hAnsi="Times New Roman" w:cs="Times New Roman"/>
          <w:b/>
        </w:rPr>
        <w:t>)</w:t>
      </w:r>
    </w:p>
    <w:p w14:paraId="761DDF3B" w14:textId="77777777" w:rsidR="00AD6B53" w:rsidRPr="00BD4AA6" w:rsidRDefault="00AD6B53" w:rsidP="00565916">
      <w:pPr>
        <w:spacing w:line="360" w:lineRule="auto"/>
        <w:jc w:val="both"/>
        <w:rPr>
          <w:rFonts w:ascii="Times New Roman" w:eastAsia="Calibri" w:hAnsi="Times New Roman" w:cs="Times New Roman"/>
          <w:szCs w:val="28"/>
        </w:rPr>
      </w:pPr>
    </w:p>
    <w:p w14:paraId="7309C2F5" w14:textId="77777777" w:rsidR="00AD6B53" w:rsidRPr="00BD4AA6" w:rsidRDefault="00AD6B53" w:rsidP="00565916">
      <w:pPr>
        <w:spacing w:line="360" w:lineRule="auto"/>
        <w:jc w:val="both"/>
        <w:rPr>
          <w:rFonts w:ascii="Times New Roman" w:eastAsia="Calibri" w:hAnsi="Times New Roman" w:cs="Times New Roman"/>
        </w:rPr>
      </w:pPr>
    </w:p>
    <w:p w14:paraId="588919D4" w14:textId="77777777" w:rsidR="00AD6B53" w:rsidRPr="00BD4AA6" w:rsidRDefault="00AD6B53" w:rsidP="00565916">
      <w:pPr>
        <w:spacing w:line="360" w:lineRule="auto"/>
        <w:jc w:val="both"/>
        <w:rPr>
          <w:rFonts w:ascii="Times New Roman" w:eastAsia="Calibri" w:hAnsi="Times New Roman" w:cs="Times New Roman"/>
        </w:rPr>
      </w:pPr>
    </w:p>
    <w:p w14:paraId="1EB0B85A" w14:textId="77777777" w:rsidR="00AD6B53" w:rsidRPr="00BD4AA6" w:rsidRDefault="00AD6B53" w:rsidP="00565916">
      <w:pPr>
        <w:spacing w:line="360" w:lineRule="auto"/>
        <w:jc w:val="both"/>
        <w:rPr>
          <w:rFonts w:ascii="Times New Roman" w:eastAsia="Calibri" w:hAnsi="Times New Roman" w:cs="Times New Roman"/>
        </w:rPr>
      </w:pPr>
    </w:p>
    <w:p w14:paraId="7C9D2278" w14:textId="77777777" w:rsidR="00AD6B53" w:rsidRPr="00BD4AA6" w:rsidRDefault="00AD6B53" w:rsidP="00565916">
      <w:pPr>
        <w:spacing w:line="360" w:lineRule="auto"/>
        <w:jc w:val="both"/>
        <w:rPr>
          <w:rFonts w:ascii="Times New Roman" w:eastAsia="Calibri" w:hAnsi="Times New Roman" w:cs="Times New Roman"/>
        </w:rPr>
      </w:pPr>
    </w:p>
    <w:p w14:paraId="33404444" w14:textId="77777777" w:rsidR="00AD6B53" w:rsidRPr="00BD4AA6" w:rsidRDefault="00AD6B53" w:rsidP="00565916">
      <w:pPr>
        <w:spacing w:line="360" w:lineRule="auto"/>
        <w:jc w:val="both"/>
        <w:rPr>
          <w:rFonts w:ascii="Times New Roman" w:eastAsia="Calibri" w:hAnsi="Times New Roman" w:cs="Times New Roman"/>
        </w:rPr>
      </w:pPr>
    </w:p>
    <w:p w14:paraId="4387A31E" w14:textId="77777777" w:rsidR="00AD6B53" w:rsidRPr="00BD4AA6" w:rsidRDefault="00AD6B53" w:rsidP="00565916">
      <w:pPr>
        <w:spacing w:line="360" w:lineRule="auto"/>
        <w:jc w:val="both"/>
        <w:rPr>
          <w:rFonts w:ascii="Times New Roman" w:eastAsia="Calibri" w:hAnsi="Times New Roman" w:cs="Times New Roman"/>
        </w:rPr>
      </w:pPr>
    </w:p>
    <w:p w14:paraId="45899B80" w14:textId="77777777" w:rsidR="00AD6B53" w:rsidRPr="00BD4AA6" w:rsidRDefault="00AD6B53" w:rsidP="00565916">
      <w:pPr>
        <w:spacing w:line="360" w:lineRule="auto"/>
        <w:jc w:val="both"/>
        <w:rPr>
          <w:rFonts w:ascii="Times New Roman" w:eastAsia="Calibri" w:hAnsi="Times New Roman" w:cs="Times New Roman"/>
        </w:rPr>
      </w:pPr>
    </w:p>
    <w:p w14:paraId="4B1F6307" w14:textId="77777777" w:rsidR="00AD6B53" w:rsidRPr="00BD4AA6" w:rsidRDefault="00AD6B53" w:rsidP="00565916">
      <w:pPr>
        <w:spacing w:line="360" w:lineRule="auto"/>
        <w:jc w:val="both"/>
        <w:rPr>
          <w:rFonts w:ascii="Times New Roman" w:eastAsia="Calibri" w:hAnsi="Times New Roman" w:cs="Times New Roman"/>
        </w:rPr>
      </w:pPr>
    </w:p>
    <w:p w14:paraId="0E26E21B" w14:textId="3D6C8239" w:rsidR="00AD6B53" w:rsidRDefault="00FF1557" w:rsidP="00565916">
      <w:pPr>
        <w:spacing w:line="360" w:lineRule="auto"/>
        <w:jc w:val="both"/>
      </w:pPr>
      <w:r>
        <w:t>5</w:t>
      </w:r>
      <w:r w:rsidRPr="00FF1557">
        <w:rPr>
          <w:vertAlign w:val="superscript"/>
        </w:rPr>
        <w:t>th</w:t>
      </w:r>
      <w:r>
        <w:t xml:space="preserve"> January 2015</w:t>
      </w:r>
    </w:p>
    <w:p w14:paraId="04BCE221" w14:textId="77777777" w:rsidR="00AD6B53" w:rsidRDefault="00AD6B53" w:rsidP="00565916">
      <w:pPr>
        <w:spacing w:line="360" w:lineRule="auto"/>
        <w:jc w:val="both"/>
      </w:pPr>
    </w:p>
    <w:p w14:paraId="5D3BC7EE" w14:textId="77777777" w:rsidR="00AD6B53" w:rsidRDefault="00AD6B53" w:rsidP="00565916">
      <w:pPr>
        <w:spacing w:line="360" w:lineRule="auto"/>
        <w:jc w:val="both"/>
      </w:pPr>
    </w:p>
    <w:sdt>
      <w:sdtPr>
        <w:rPr>
          <w:rFonts w:asciiTheme="minorHAnsi" w:eastAsiaTheme="minorHAnsi" w:hAnsiTheme="minorHAnsi" w:cstheme="minorBidi"/>
          <w:b w:val="0"/>
          <w:bCs w:val="0"/>
          <w:color w:val="auto"/>
          <w:sz w:val="22"/>
          <w:szCs w:val="22"/>
          <w:lang w:val="en-IE"/>
        </w:rPr>
        <w:id w:val="14295417"/>
        <w:docPartObj>
          <w:docPartGallery w:val="Table of Contents"/>
          <w:docPartUnique/>
        </w:docPartObj>
      </w:sdtPr>
      <w:sdtEndPr>
        <w:rPr>
          <w:rFonts w:ascii="Times New Roman" w:eastAsiaTheme="minorEastAsia" w:hAnsi="Times New Roman" w:cs="Times New Roman"/>
        </w:rPr>
      </w:sdtEndPr>
      <w:sdtContent>
        <w:p w14:paraId="5971DB4A" w14:textId="77777777" w:rsidR="004A1BF5" w:rsidRDefault="004A1BF5" w:rsidP="00565916">
          <w:pPr>
            <w:pStyle w:val="TOCHeading"/>
            <w:spacing w:line="360" w:lineRule="auto"/>
            <w:jc w:val="both"/>
            <w:rPr>
              <w:rFonts w:asciiTheme="minorHAnsi" w:eastAsiaTheme="minorHAnsi" w:hAnsiTheme="minorHAnsi" w:cstheme="minorBidi"/>
              <w:b w:val="0"/>
              <w:bCs w:val="0"/>
              <w:color w:val="auto"/>
              <w:sz w:val="22"/>
              <w:szCs w:val="22"/>
              <w:lang w:val="en-IE"/>
            </w:rPr>
          </w:pPr>
        </w:p>
        <w:p w14:paraId="7FF679F3" w14:textId="77777777" w:rsidR="00AD6B53" w:rsidRDefault="00AD6B53" w:rsidP="00565916">
          <w:pPr>
            <w:pStyle w:val="TOCHeading"/>
            <w:spacing w:line="360" w:lineRule="auto"/>
            <w:jc w:val="both"/>
          </w:pPr>
          <w:r>
            <w:t>Contents</w:t>
          </w:r>
        </w:p>
        <w:p w14:paraId="2DB157D7" w14:textId="77777777" w:rsidR="00AD6B53" w:rsidRPr="00AD6B53" w:rsidRDefault="00AD6B53" w:rsidP="00565916">
          <w:pPr>
            <w:spacing w:line="360" w:lineRule="auto"/>
            <w:jc w:val="both"/>
            <w:rPr>
              <w:lang w:val="en-US"/>
            </w:rPr>
          </w:pPr>
        </w:p>
        <w:p w14:paraId="078390A0" w14:textId="77777777" w:rsidR="00052D08" w:rsidRDefault="00EC08FB" w:rsidP="00565916">
          <w:pPr>
            <w:pStyle w:val="TOC1"/>
            <w:tabs>
              <w:tab w:val="left" w:pos="440"/>
              <w:tab w:val="right" w:leader="dot" w:pos="9016"/>
            </w:tabs>
            <w:jc w:val="both"/>
            <w:rPr>
              <w:noProof/>
            </w:rPr>
          </w:pPr>
          <w:r w:rsidRPr="008A2044">
            <w:rPr>
              <w:rFonts w:ascii="Times New Roman" w:hAnsi="Times New Roman" w:cs="Times New Roman"/>
            </w:rPr>
            <w:fldChar w:fldCharType="begin"/>
          </w:r>
          <w:r w:rsidR="00AD6B53" w:rsidRPr="008A2044">
            <w:rPr>
              <w:rFonts w:ascii="Times New Roman" w:hAnsi="Times New Roman" w:cs="Times New Roman"/>
            </w:rPr>
            <w:instrText xml:space="preserve"> TOC \o "1-3" \h \z \u </w:instrText>
          </w:r>
          <w:r w:rsidRPr="008A2044">
            <w:rPr>
              <w:rFonts w:ascii="Times New Roman" w:hAnsi="Times New Roman" w:cs="Times New Roman"/>
            </w:rPr>
            <w:fldChar w:fldCharType="separate"/>
          </w:r>
          <w:hyperlink w:anchor="_Toc306957867" w:history="1">
            <w:r w:rsidR="00052D08" w:rsidRPr="00031FA3">
              <w:rPr>
                <w:rStyle w:val="Hyperlink"/>
                <w:noProof/>
              </w:rPr>
              <w:t>1.</w:t>
            </w:r>
            <w:r w:rsidR="00052D08">
              <w:rPr>
                <w:noProof/>
              </w:rPr>
              <w:tab/>
            </w:r>
            <w:r w:rsidR="00052D08" w:rsidRPr="00031FA3">
              <w:rPr>
                <w:rStyle w:val="Hyperlink"/>
                <w:noProof/>
              </w:rPr>
              <w:t>Foreword</w:t>
            </w:r>
            <w:r w:rsidR="00052D08">
              <w:rPr>
                <w:noProof/>
                <w:webHidden/>
              </w:rPr>
              <w:tab/>
            </w:r>
            <w:r>
              <w:rPr>
                <w:noProof/>
                <w:webHidden/>
              </w:rPr>
              <w:fldChar w:fldCharType="begin"/>
            </w:r>
            <w:r w:rsidR="00052D08">
              <w:rPr>
                <w:noProof/>
                <w:webHidden/>
              </w:rPr>
              <w:instrText xml:space="preserve"> PAGEREF _Toc306957867 \h </w:instrText>
            </w:r>
            <w:r>
              <w:rPr>
                <w:noProof/>
                <w:webHidden/>
              </w:rPr>
            </w:r>
            <w:r>
              <w:rPr>
                <w:noProof/>
                <w:webHidden/>
              </w:rPr>
              <w:fldChar w:fldCharType="separate"/>
            </w:r>
            <w:r w:rsidR="007C6C61">
              <w:rPr>
                <w:noProof/>
                <w:webHidden/>
              </w:rPr>
              <w:t>3</w:t>
            </w:r>
            <w:r>
              <w:rPr>
                <w:noProof/>
                <w:webHidden/>
              </w:rPr>
              <w:fldChar w:fldCharType="end"/>
            </w:r>
          </w:hyperlink>
        </w:p>
        <w:p w14:paraId="5D500278" w14:textId="77777777" w:rsidR="00052D08" w:rsidRDefault="00C3454F" w:rsidP="00565916">
          <w:pPr>
            <w:pStyle w:val="TOC1"/>
            <w:tabs>
              <w:tab w:val="left" w:pos="440"/>
              <w:tab w:val="right" w:leader="dot" w:pos="9016"/>
            </w:tabs>
            <w:jc w:val="both"/>
            <w:rPr>
              <w:noProof/>
            </w:rPr>
          </w:pPr>
          <w:hyperlink w:anchor="_Toc306957868" w:history="1">
            <w:r w:rsidR="00052D08" w:rsidRPr="00031FA3">
              <w:rPr>
                <w:rStyle w:val="Hyperlink"/>
                <w:noProof/>
              </w:rPr>
              <w:t>2.</w:t>
            </w:r>
            <w:r w:rsidR="00052D08">
              <w:rPr>
                <w:noProof/>
              </w:rPr>
              <w:tab/>
            </w:r>
            <w:r w:rsidR="00052D08" w:rsidRPr="00031FA3">
              <w:rPr>
                <w:rStyle w:val="Hyperlink"/>
                <w:noProof/>
              </w:rPr>
              <w:t>Policy context</w:t>
            </w:r>
            <w:r w:rsidR="00052D08">
              <w:rPr>
                <w:noProof/>
                <w:webHidden/>
              </w:rPr>
              <w:tab/>
            </w:r>
            <w:r w:rsidR="00EC08FB">
              <w:rPr>
                <w:noProof/>
                <w:webHidden/>
              </w:rPr>
              <w:fldChar w:fldCharType="begin"/>
            </w:r>
            <w:r w:rsidR="00052D08">
              <w:rPr>
                <w:noProof/>
                <w:webHidden/>
              </w:rPr>
              <w:instrText xml:space="preserve"> PAGEREF _Toc306957868 \h </w:instrText>
            </w:r>
            <w:r w:rsidR="00EC08FB">
              <w:rPr>
                <w:noProof/>
                <w:webHidden/>
              </w:rPr>
            </w:r>
            <w:r w:rsidR="00EC08FB">
              <w:rPr>
                <w:noProof/>
                <w:webHidden/>
              </w:rPr>
              <w:fldChar w:fldCharType="separate"/>
            </w:r>
            <w:r w:rsidR="007C6C61">
              <w:rPr>
                <w:noProof/>
                <w:webHidden/>
              </w:rPr>
              <w:t>4</w:t>
            </w:r>
            <w:r w:rsidR="00EC08FB">
              <w:rPr>
                <w:noProof/>
                <w:webHidden/>
              </w:rPr>
              <w:fldChar w:fldCharType="end"/>
            </w:r>
          </w:hyperlink>
        </w:p>
        <w:p w14:paraId="617BA636" w14:textId="77777777" w:rsidR="00052D08" w:rsidRDefault="00C3454F" w:rsidP="00565916">
          <w:pPr>
            <w:pStyle w:val="TOC1"/>
            <w:tabs>
              <w:tab w:val="left" w:pos="440"/>
              <w:tab w:val="right" w:leader="dot" w:pos="9016"/>
            </w:tabs>
            <w:jc w:val="both"/>
            <w:rPr>
              <w:noProof/>
            </w:rPr>
          </w:pPr>
          <w:hyperlink w:anchor="_Toc306957869" w:history="1">
            <w:r w:rsidR="00052D08" w:rsidRPr="00031FA3">
              <w:rPr>
                <w:rStyle w:val="Hyperlink"/>
                <w:noProof/>
              </w:rPr>
              <w:t>3.</w:t>
            </w:r>
            <w:r w:rsidR="00052D08">
              <w:rPr>
                <w:noProof/>
              </w:rPr>
              <w:tab/>
            </w:r>
            <w:r w:rsidR="00052D08" w:rsidRPr="00031FA3">
              <w:rPr>
                <w:rStyle w:val="Hyperlink"/>
                <w:noProof/>
              </w:rPr>
              <w:t>Objectives</w:t>
            </w:r>
            <w:r w:rsidR="00052D08">
              <w:rPr>
                <w:noProof/>
                <w:webHidden/>
              </w:rPr>
              <w:tab/>
            </w:r>
            <w:r w:rsidR="00EC08FB">
              <w:rPr>
                <w:noProof/>
                <w:webHidden/>
              </w:rPr>
              <w:fldChar w:fldCharType="begin"/>
            </w:r>
            <w:r w:rsidR="00052D08">
              <w:rPr>
                <w:noProof/>
                <w:webHidden/>
              </w:rPr>
              <w:instrText xml:space="preserve"> PAGEREF _Toc306957869 \h </w:instrText>
            </w:r>
            <w:r w:rsidR="00EC08FB">
              <w:rPr>
                <w:noProof/>
                <w:webHidden/>
              </w:rPr>
            </w:r>
            <w:r w:rsidR="00EC08FB">
              <w:rPr>
                <w:noProof/>
                <w:webHidden/>
              </w:rPr>
              <w:fldChar w:fldCharType="separate"/>
            </w:r>
            <w:r w:rsidR="007C6C61">
              <w:rPr>
                <w:noProof/>
                <w:webHidden/>
              </w:rPr>
              <w:t>4</w:t>
            </w:r>
            <w:r w:rsidR="00EC08FB">
              <w:rPr>
                <w:noProof/>
                <w:webHidden/>
              </w:rPr>
              <w:fldChar w:fldCharType="end"/>
            </w:r>
          </w:hyperlink>
        </w:p>
        <w:p w14:paraId="5FA43FAE" w14:textId="77777777" w:rsidR="00052D08" w:rsidRDefault="00C3454F" w:rsidP="00565916">
          <w:pPr>
            <w:pStyle w:val="TOC1"/>
            <w:tabs>
              <w:tab w:val="left" w:pos="440"/>
              <w:tab w:val="right" w:leader="dot" w:pos="9016"/>
            </w:tabs>
            <w:jc w:val="both"/>
            <w:rPr>
              <w:noProof/>
            </w:rPr>
          </w:pPr>
          <w:hyperlink w:anchor="_Toc306957870" w:history="1">
            <w:r w:rsidR="00052D08" w:rsidRPr="00031FA3">
              <w:rPr>
                <w:rStyle w:val="Hyperlink"/>
                <w:noProof/>
              </w:rPr>
              <w:t>4.</w:t>
            </w:r>
            <w:r w:rsidR="00052D08">
              <w:rPr>
                <w:noProof/>
              </w:rPr>
              <w:tab/>
            </w:r>
            <w:r w:rsidR="00052D08" w:rsidRPr="00031FA3">
              <w:rPr>
                <w:rStyle w:val="Hyperlink"/>
                <w:noProof/>
              </w:rPr>
              <w:t>Options</w:t>
            </w:r>
            <w:r w:rsidR="00052D08">
              <w:rPr>
                <w:noProof/>
                <w:webHidden/>
              </w:rPr>
              <w:tab/>
            </w:r>
            <w:r w:rsidR="00EC08FB">
              <w:rPr>
                <w:noProof/>
                <w:webHidden/>
              </w:rPr>
              <w:fldChar w:fldCharType="begin"/>
            </w:r>
            <w:r w:rsidR="00052D08">
              <w:rPr>
                <w:noProof/>
                <w:webHidden/>
              </w:rPr>
              <w:instrText xml:space="preserve"> PAGEREF _Toc306957870 \h </w:instrText>
            </w:r>
            <w:r w:rsidR="00EC08FB">
              <w:rPr>
                <w:noProof/>
                <w:webHidden/>
              </w:rPr>
            </w:r>
            <w:r w:rsidR="00EC08FB">
              <w:rPr>
                <w:noProof/>
                <w:webHidden/>
              </w:rPr>
              <w:fldChar w:fldCharType="separate"/>
            </w:r>
            <w:r w:rsidR="007C6C61">
              <w:rPr>
                <w:noProof/>
                <w:webHidden/>
              </w:rPr>
              <w:t>4</w:t>
            </w:r>
            <w:r w:rsidR="00EC08FB">
              <w:rPr>
                <w:noProof/>
                <w:webHidden/>
              </w:rPr>
              <w:fldChar w:fldCharType="end"/>
            </w:r>
          </w:hyperlink>
        </w:p>
        <w:p w14:paraId="3B2BDCCA" w14:textId="77777777" w:rsidR="00052D08" w:rsidRDefault="00C3454F" w:rsidP="00565916">
          <w:pPr>
            <w:pStyle w:val="TOC1"/>
            <w:tabs>
              <w:tab w:val="left" w:pos="440"/>
              <w:tab w:val="right" w:leader="dot" w:pos="9016"/>
            </w:tabs>
            <w:jc w:val="both"/>
            <w:rPr>
              <w:noProof/>
            </w:rPr>
          </w:pPr>
          <w:hyperlink w:anchor="_Toc306957871" w:history="1">
            <w:r w:rsidR="00052D08" w:rsidRPr="00031FA3">
              <w:rPr>
                <w:rStyle w:val="Hyperlink"/>
                <w:noProof/>
              </w:rPr>
              <w:t>5.</w:t>
            </w:r>
            <w:r w:rsidR="00052D08">
              <w:rPr>
                <w:noProof/>
              </w:rPr>
              <w:tab/>
            </w:r>
            <w:r w:rsidR="00052D08" w:rsidRPr="00031FA3">
              <w:rPr>
                <w:rStyle w:val="Hyperlink"/>
                <w:noProof/>
              </w:rPr>
              <w:t>Impact analysis</w:t>
            </w:r>
            <w:r w:rsidR="00052D08">
              <w:rPr>
                <w:noProof/>
                <w:webHidden/>
              </w:rPr>
              <w:tab/>
            </w:r>
            <w:r w:rsidR="00EC08FB">
              <w:rPr>
                <w:noProof/>
                <w:webHidden/>
              </w:rPr>
              <w:fldChar w:fldCharType="begin"/>
            </w:r>
            <w:r w:rsidR="00052D08">
              <w:rPr>
                <w:noProof/>
                <w:webHidden/>
              </w:rPr>
              <w:instrText xml:space="preserve"> PAGEREF _Toc306957871 \h </w:instrText>
            </w:r>
            <w:r w:rsidR="00EC08FB">
              <w:rPr>
                <w:noProof/>
                <w:webHidden/>
              </w:rPr>
            </w:r>
            <w:r w:rsidR="00EC08FB">
              <w:rPr>
                <w:noProof/>
                <w:webHidden/>
              </w:rPr>
              <w:fldChar w:fldCharType="separate"/>
            </w:r>
            <w:r w:rsidR="007C6C61">
              <w:rPr>
                <w:noProof/>
                <w:webHidden/>
              </w:rPr>
              <w:t>5</w:t>
            </w:r>
            <w:r w:rsidR="00EC08FB">
              <w:rPr>
                <w:noProof/>
                <w:webHidden/>
              </w:rPr>
              <w:fldChar w:fldCharType="end"/>
            </w:r>
          </w:hyperlink>
        </w:p>
        <w:p w14:paraId="1CC1FE69" w14:textId="77777777" w:rsidR="00052D08" w:rsidRDefault="00C3454F" w:rsidP="00565916">
          <w:pPr>
            <w:pStyle w:val="TOC1"/>
            <w:tabs>
              <w:tab w:val="left" w:pos="440"/>
              <w:tab w:val="right" w:leader="dot" w:pos="9016"/>
            </w:tabs>
            <w:jc w:val="both"/>
            <w:rPr>
              <w:noProof/>
            </w:rPr>
          </w:pPr>
          <w:hyperlink w:anchor="_Toc306957872" w:history="1">
            <w:r w:rsidR="00052D08" w:rsidRPr="00834E2F">
              <w:rPr>
                <w:rStyle w:val="Hyperlink"/>
                <w:rFonts w:cstheme="minorHAnsi"/>
                <w:noProof/>
              </w:rPr>
              <w:t>6.</w:t>
            </w:r>
            <w:r w:rsidR="00052D08" w:rsidRPr="00691181">
              <w:rPr>
                <w:rFonts w:cstheme="minorHAnsi"/>
                <w:noProof/>
              </w:rPr>
              <w:tab/>
            </w:r>
            <w:r w:rsidR="00052D08" w:rsidRPr="00834E2F">
              <w:rPr>
                <w:rStyle w:val="Hyperlink"/>
                <w:rFonts w:cstheme="minorHAnsi"/>
                <w:noProof/>
              </w:rPr>
              <w:t>Consultation</w:t>
            </w:r>
            <w:r w:rsidR="00052D08">
              <w:rPr>
                <w:noProof/>
                <w:webHidden/>
              </w:rPr>
              <w:tab/>
            </w:r>
            <w:r w:rsidR="00EC08FB">
              <w:rPr>
                <w:noProof/>
                <w:webHidden/>
              </w:rPr>
              <w:fldChar w:fldCharType="begin"/>
            </w:r>
            <w:r w:rsidR="00052D08">
              <w:rPr>
                <w:noProof/>
                <w:webHidden/>
              </w:rPr>
              <w:instrText xml:space="preserve"> PAGEREF _Toc306957872 \h </w:instrText>
            </w:r>
            <w:r w:rsidR="00EC08FB">
              <w:rPr>
                <w:noProof/>
                <w:webHidden/>
              </w:rPr>
            </w:r>
            <w:r w:rsidR="00EC08FB">
              <w:rPr>
                <w:noProof/>
                <w:webHidden/>
              </w:rPr>
              <w:fldChar w:fldCharType="separate"/>
            </w:r>
            <w:r w:rsidR="007C6C61">
              <w:rPr>
                <w:noProof/>
                <w:webHidden/>
              </w:rPr>
              <w:t>9</w:t>
            </w:r>
            <w:r w:rsidR="00EC08FB">
              <w:rPr>
                <w:noProof/>
                <w:webHidden/>
              </w:rPr>
              <w:fldChar w:fldCharType="end"/>
            </w:r>
          </w:hyperlink>
        </w:p>
        <w:p w14:paraId="5949D17E" w14:textId="62206771" w:rsidR="00076488" w:rsidRPr="00691181" w:rsidRDefault="00076488" w:rsidP="00565916">
          <w:pPr>
            <w:jc w:val="both"/>
            <w:rPr>
              <w:noProof/>
            </w:rPr>
          </w:pPr>
          <w:r>
            <w:rPr>
              <w:noProof/>
            </w:rPr>
            <w:t xml:space="preserve">7.      </w:t>
          </w:r>
          <w:r w:rsidR="005448A2">
            <w:rPr>
              <w:noProof/>
            </w:rPr>
            <w:t>Enforcement and Compliance…………………………………………………………………………………………………</w:t>
          </w:r>
          <w:r w:rsidR="007C6C61">
            <w:rPr>
              <w:noProof/>
            </w:rPr>
            <w:t>10</w:t>
          </w:r>
        </w:p>
        <w:p w14:paraId="1B738B36" w14:textId="368D658E" w:rsidR="00AD6B53" w:rsidRPr="008A2044" w:rsidRDefault="00C3454F" w:rsidP="00565916">
          <w:pPr>
            <w:pStyle w:val="TOC1"/>
            <w:tabs>
              <w:tab w:val="left" w:pos="440"/>
              <w:tab w:val="right" w:leader="dot" w:pos="9016"/>
            </w:tabs>
            <w:jc w:val="both"/>
            <w:rPr>
              <w:rFonts w:ascii="Times New Roman" w:hAnsi="Times New Roman" w:cs="Times New Roman"/>
            </w:rPr>
          </w:pPr>
          <w:hyperlink w:anchor="_Toc306957873" w:history="1">
            <w:r w:rsidR="00076488">
              <w:rPr>
                <w:rStyle w:val="Hyperlink"/>
                <w:rFonts w:ascii="Times New Roman" w:hAnsi="Times New Roman" w:cs="Times New Roman"/>
                <w:noProof/>
              </w:rPr>
              <w:t>8</w:t>
            </w:r>
            <w:r w:rsidR="00052D08" w:rsidRPr="00031FA3">
              <w:rPr>
                <w:rStyle w:val="Hyperlink"/>
                <w:rFonts w:ascii="Times New Roman" w:hAnsi="Times New Roman" w:cs="Times New Roman"/>
                <w:noProof/>
              </w:rPr>
              <w:t>.</w:t>
            </w:r>
            <w:r w:rsidR="00052D08">
              <w:rPr>
                <w:noProof/>
              </w:rPr>
              <w:tab/>
            </w:r>
            <w:r w:rsidR="00052D08" w:rsidRPr="00834E2F">
              <w:rPr>
                <w:rStyle w:val="Hyperlink"/>
                <w:rFonts w:cstheme="minorHAnsi"/>
                <w:noProof/>
              </w:rPr>
              <w:t>Review</w:t>
            </w:r>
            <w:r w:rsidR="00052D08">
              <w:rPr>
                <w:noProof/>
                <w:webHidden/>
              </w:rPr>
              <w:tab/>
            </w:r>
          </w:hyperlink>
          <w:r w:rsidR="00EC08FB" w:rsidRPr="008A2044">
            <w:rPr>
              <w:rFonts w:ascii="Times New Roman" w:hAnsi="Times New Roman" w:cs="Times New Roman"/>
            </w:rPr>
            <w:fldChar w:fldCharType="end"/>
          </w:r>
          <w:r w:rsidR="007C6C61">
            <w:rPr>
              <w:rFonts w:ascii="Times New Roman" w:hAnsi="Times New Roman" w:cs="Times New Roman"/>
            </w:rPr>
            <w:t>10</w:t>
          </w:r>
        </w:p>
      </w:sdtContent>
    </w:sdt>
    <w:p w14:paraId="3AB063A5" w14:textId="77777777" w:rsidR="00AD6B53" w:rsidRDefault="00AD6B53" w:rsidP="00565916">
      <w:pPr>
        <w:spacing w:line="360" w:lineRule="auto"/>
        <w:jc w:val="both"/>
      </w:pPr>
    </w:p>
    <w:p w14:paraId="1BEB804B" w14:textId="77777777" w:rsidR="00515A09" w:rsidRDefault="00515A09" w:rsidP="00565916">
      <w:pPr>
        <w:spacing w:line="360" w:lineRule="auto"/>
        <w:jc w:val="both"/>
      </w:pPr>
    </w:p>
    <w:p w14:paraId="34A57E6F" w14:textId="77777777" w:rsidR="00AD6B53" w:rsidRDefault="00AD6B53" w:rsidP="00565916">
      <w:pPr>
        <w:spacing w:line="360" w:lineRule="auto"/>
        <w:jc w:val="both"/>
      </w:pPr>
    </w:p>
    <w:p w14:paraId="4BF04336" w14:textId="77777777" w:rsidR="00AD6B53" w:rsidRDefault="00AD6B53" w:rsidP="00565916">
      <w:pPr>
        <w:spacing w:line="360" w:lineRule="auto"/>
        <w:jc w:val="both"/>
      </w:pPr>
    </w:p>
    <w:p w14:paraId="5B4F551E" w14:textId="77777777" w:rsidR="00AD6B53" w:rsidRDefault="00AD6B53" w:rsidP="00565916">
      <w:pPr>
        <w:spacing w:line="360" w:lineRule="auto"/>
        <w:jc w:val="both"/>
      </w:pPr>
    </w:p>
    <w:p w14:paraId="0D814C53" w14:textId="77777777" w:rsidR="00AD6B53" w:rsidRDefault="00AD6B53" w:rsidP="00565916">
      <w:pPr>
        <w:spacing w:line="360" w:lineRule="auto"/>
        <w:jc w:val="both"/>
      </w:pPr>
    </w:p>
    <w:p w14:paraId="3459B943" w14:textId="77777777" w:rsidR="00AD6B53" w:rsidRDefault="00AD6B53" w:rsidP="00565916">
      <w:pPr>
        <w:spacing w:line="360" w:lineRule="auto"/>
        <w:jc w:val="both"/>
      </w:pPr>
    </w:p>
    <w:p w14:paraId="71250026" w14:textId="77777777" w:rsidR="00AD6B53" w:rsidRDefault="00AD6B53" w:rsidP="00565916">
      <w:pPr>
        <w:spacing w:line="360" w:lineRule="auto"/>
        <w:jc w:val="both"/>
      </w:pPr>
    </w:p>
    <w:p w14:paraId="3383B694" w14:textId="77777777" w:rsidR="00AD6B53" w:rsidRDefault="00AD6B53" w:rsidP="00565916">
      <w:pPr>
        <w:spacing w:line="360" w:lineRule="auto"/>
        <w:jc w:val="both"/>
      </w:pPr>
    </w:p>
    <w:p w14:paraId="5F002082" w14:textId="77777777" w:rsidR="00AD6B53" w:rsidRDefault="00AD6B53" w:rsidP="00565916">
      <w:pPr>
        <w:spacing w:line="360" w:lineRule="auto"/>
        <w:jc w:val="both"/>
      </w:pPr>
    </w:p>
    <w:p w14:paraId="22EC05C7" w14:textId="77777777" w:rsidR="00AD6B53" w:rsidRDefault="00AD6B53" w:rsidP="00565916">
      <w:pPr>
        <w:spacing w:line="360" w:lineRule="auto"/>
        <w:jc w:val="both"/>
      </w:pPr>
    </w:p>
    <w:p w14:paraId="53A66202" w14:textId="77777777" w:rsidR="00AD6B53" w:rsidRDefault="00AD6B53" w:rsidP="00565916">
      <w:pPr>
        <w:spacing w:line="360" w:lineRule="auto"/>
        <w:jc w:val="both"/>
      </w:pPr>
    </w:p>
    <w:p w14:paraId="310AC1D7" w14:textId="77777777" w:rsidR="0098471D" w:rsidRPr="00691181" w:rsidRDefault="00A1670E" w:rsidP="00565916">
      <w:pPr>
        <w:pStyle w:val="Heading1"/>
        <w:numPr>
          <w:ilvl w:val="0"/>
          <w:numId w:val="7"/>
        </w:numPr>
        <w:spacing w:line="360" w:lineRule="auto"/>
        <w:ind w:hanging="720"/>
        <w:jc w:val="both"/>
      </w:pPr>
      <w:bookmarkStart w:id="0" w:name="_Toc306957867"/>
      <w:r>
        <w:lastRenderedPageBreak/>
        <w:t>F</w:t>
      </w:r>
      <w:r w:rsidR="00AD6B53">
        <w:t>oreword</w:t>
      </w:r>
      <w:bookmarkEnd w:id="0"/>
    </w:p>
    <w:p w14:paraId="04BB2A27" w14:textId="77777777" w:rsidR="0098471D" w:rsidRDefault="0098471D" w:rsidP="00565916">
      <w:pPr>
        <w:spacing w:line="360" w:lineRule="auto"/>
        <w:jc w:val="both"/>
        <w:rPr>
          <w:rFonts w:ascii="Times New Roman" w:hAnsi="Times New Roman" w:cs="Times New Roman"/>
        </w:rPr>
      </w:pPr>
      <w:r w:rsidRPr="00A1670E">
        <w:rPr>
          <w:rFonts w:ascii="Times New Roman" w:hAnsi="Times New Roman" w:cs="Times New Roman"/>
        </w:rPr>
        <w:t xml:space="preserve">The Health and Safety Authority, herein after referred to as </w:t>
      </w:r>
      <w:r w:rsidR="007E3F20">
        <w:rPr>
          <w:rFonts w:ascii="Times New Roman" w:hAnsi="Times New Roman" w:cs="Times New Roman"/>
        </w:rPr>
        <w:t>‘</w:t>
      </w:r>
      <w:r w:rsidRPr="00A1670E">
        <w:rPr>
          <w:rFonts w:ascii="Times New Roman" w:hAnsi="Times New Roman" w:cs="Times New Roman"/>
        </w:rPr>
        <w:t>the Authority</w:t>
      </w:r>
      <w:r w:rsidR="007E3F20">
        <w:rPr>
          <w:rFonts w:ascii="Times New Roman" w:hAnsi="Times New Roman" w:cs="Times New Roman"/>
        </w:rPr>
        <w:t>’</w:t>
      </w:r>
      <w:r w:rsidRPr="00A1670E">
        <w:rPr>
          <w:rFonts w:ascii="Times New Roman" w:hAnsi="Times New Roman" w:cs="Times New Roman"/>
        </w:rPr>
        <w:t>, has prepared this Regulatory Impact Analysis (RIA) in line with the Revised RIA Guidelines, (Department of the Taoiseach, 2009).</w:t>
      </w:r>
    </w:p>
    <w:p w14:paraId="1B4CD3DE" w14:textId="570130A3" w:rsidR="000A75B7" w:rsidRDefault="000A75B7" w:rsidP="00565916">
      <w:pPr>
        <w:spacing w:line="360" w:lineRule="auto"/>
        <w:jc w:val="both"/>
        <w:rPr>
          <w:rFonts w:ascii="Times New Roman" w:hAnsi="Times New Roman" w:cs="Times New Roman"/>
        </w:rPr>
      </w:pPr>
      <w:r w:rsidRPr="00AD6B53">
        <w:rPr>
          <w:rFonts w:ascii="Times New Roman" w:hAnsi="Times New Roman" w:cs="Times New Roman"/>
        </w:rPr>
        <w:t>Th</w:t>
      </w:r>
      <w:r>
        <w:rPr>
          <w:rFonts w:ascii="Times New Roman" w:hAnsi="Times New Roman" w:cs="Times New Roman"/>
        </w:rPr>
        <w:t>is RIA considers the options and assesses the impacts of the requirement to transpose the</w:t>
      </w:r>
      <w:r w:rsidRPr="00AD6B53">
        <w:rPr>
          <w:rFonts w:ascii="Times New Roman" w:hAnsi="Times New Roman" w:cs="Times New Roman"/>
        </w:rPr>
        <w:t xml:space="preserve"> Directive </w:t>
      </w:r>
      <w:r w:rsidR="009E2601">
        <w:rPr>
          <w:rFonts w:ascii="Times New Roman" w:hAnsi="Times New Roman" w:cs="Times New Roman"/>
        </w:rPr>
        <w:t>201</w:t>
      </w:r>
      <w:r w:rsidR="005721C9">
        <w:rPr>
          <w:rFonts w:ascii="Times New Roman" w:hAnsi="Times New Roman" w:cs="Times New Roman"/>
        </w:rPr>
        <w:t>3</w:t>
      </w:r>
      <w:r w:rsidR="009E2601">
        <w:rPr>
          <w:rFonts w:ascii="Times New Roman" w:hAnsi="Times New Roman" w:cs="Times New Roman"/>
        </w:rPr>
        <w:t>/3</w:t>
      </w:r>
      <w:r w:rsidR="005721C9">
        <w:rPr>
          <w:rFonts w:ascii="Times New Roman" w:hAnsi="Times New Roman" w:cs="Times New Roman"/>
        </w:rPr>
        <w:t>5</w:t>
      </w:r>
      <w:r w:rsidR="009E2601">
        <w:rPr>
          <w:rFonts w:ascii="Times New Roman" w:hAnsi="Times New Roman" w:cs="Times New Roman"/>
        </w:rPr>
        <w:t xml:space="preserve">/EU </w:t>
      </w:r>
      <w:r w:rsidR="00E851F3">
        <w:rPr>
          <w:rFonts w:ascii="Times New Roman" w:hAnsi="Times New Roman" w:cs="Times New Roman"/>
        </w:rPr>
        <w:t>of The</w:t>
      </w:r>
      <w:r w:rsidR="005721C9">
        <w:rPr>
          <w:rFonts w:ascii="Times New Roman" w:hAnsi="Times New Roman" w:cs="Times New Roman"/>
        </w:rPr>
        <w:t xml:space="preserve"> European Parliament and of The Council of 26</w:t>
      </w:r>
      <w:r w:rsidR="000A6B4A">
        <w:rPr>
          <w:rFonts w:ascii="Times New Roman" w:hAnsi="Times New Roman" w:cs="Times New Roman"/>
        </w:rPr>
        <w:t>th</w:t>
      </w:r>
      <w:r w:rsidR="005721C9">
        <w:rPr>
          <w:rFonts w:ascii="Times New Roman" w:hAnsi="Times New Roman" w:cs="Times New Roman"/>
        </w:rPr>
        <w:t xml:space="preserve"> June 2013 implementing the minimum health and safety requirements regarding the exposure of workers to the risks arising from physical agents (electromagnetic fields) </w:t>
      </w:r>
      <w:r w:rsidR="000A6B4A">
        <w:rPr>
          <w:rFonts w:ascii="Times New Roman" w:hAnsi="Times New Roman" w:cs="Times New Roman"/>
        </w:rPr>
        <w:t>(20</w:t>
      </w:r>
      <w:r w:rsidR="000A6B4A" w:rsidRPr="000A6B4A">
        <w:rPr>
          <w:rFonts w:ascii="Times New Roman" w:hAnsi="Times New Roman" w:cs="Times New Roman"/>
          <w:vertAlign w:val="superscript"/>
        </w:rPr>
        <w:t>th</w:t>
      </w:r>
      <w:r w:rsidR="000A6B4A">
        <w:rPr>
          <w:rFonts w:ascii="Times New Roman" w:hAnsi="Times New Roman" w:cs="Times New Roman"/>
        </w:rPr>
        <w:t xml:space="preserve"> individual Directive within the meaning of Article 16(1) of Directive 89/391/EEC and repealing Directive 2004/40/EC</w:t>
      </w:r>
      <w:r>
        <w:rPr>
          <w:rFonts w:ascii="Times New Roman" w:hAnsi="Times New Roman" w:cs="Times New Roman"/>
        </w:rPr>
        <w:t xml:space="preserve">.  </w:t>
      </w:r>
      <w:r w:rsidR="00603589">
        <w:rPr>
          <w:rFonts w:ascii="Times New Roman" w:hAnsi="Times New Roman" w:cs="Times New Roman"/>
        </w:rPr>
        <w:t xml:space="preserve">The deadline for </w:t>
      </w:r>
      <w:r w:rsidR="00576C39">
        <w:rPr>
          <w:rFonts w:ascii="Times New Roman" w:hAnsi="Times New Roman" w:cs="Times New Roman"/>
        </w:rPr>
        <w:t xml:space="preserve">Member States to comply </w:t>
      </w:r>
      <w:r>
        <w:rPr>
          <w:rFonts w:ascii="Times New Roman" w:hAnsi="Times New Roman" w:cs="Times New Roman"/>
        </w:rPr>
        <w:t>with the Directive</w:t>
      </w:r>
      <w:r w:rsidRPr="00AD6B53">
        <w:rPr>
          <w:rFonts w:ascii="Times New Roman" w:hAnsi="Times New Roman" w:cs="Times New Roman"/>
        </w:rPr>
        <w:t xml:space="preserve"> </w:t>
      </w:r>
      <w:r w:rsidR="00603589">
        <w:rPr>
          <w:rFonts w:ascii="Times New Roman" w:hAnsi="Times New Roman" w:cs="Times New Roman"/>
        </w:rPr>
        <w:t xml:space="preserve">is </w:t>
      </w:r>
      <w:r w:rsidR="000A6B4A">
        <w:rPr>
          <w:rFonts w:ascii="Times New Roman" w:hAnsi="Times New Roman" w:cs="Times New Roman"/>
        </w:rPr>
        <w:t>1</w:t>
      </w:r>
      <w:r w:rsidR="000A6B4A" w:rsidRPr="000A6B4A">
        <w:rPr>
          <w:rFonts w:ascii="Times New Roman" w:hAnsi="Times New Roman" w:cs="Times New Roman"/>
          <w:vertAlign w:val="superscript"/>
        </w:rPr>
        <w:t>st</w:t>
      </w:r>
      <w:r w:rsidR="000A6B4A">
        <w:rPr>
          <w:rFonts w:ascii="Times New Roman" w:hAnsi="Times New Roman" w:cs="Times New Roman"/>
        </w:rPr>
        <w:t xml:space="preserve"> July 2016</w:t>
      </w:r>
      <w:r w:rsidRPr="00AD6B53">
        <w:rPr>
          <w:rFonts w:ascii="Times New Roman" w:hAnsi="Times New Roman" w:cs="Times New Roman"/>
        </w:rPr>
        <w:t xml:space="preserve">.  </w:t>
      </w:r>
    </w:p>
    <w:p w14:paraId="2E2F8E32" w14:textId="4EF5DB57" w:rsidR="00087737" w:rsidRDefault="00603589" w:rsidP="00565916">
      <w:pPr>
        <w:spacing w:line="360" w:lineRule="auto"/>
        <w:jc w:val="both"/>
        <w:rPr>
          <w:rFonts w:ascii="Times New Roman" w:hAnsi="Times New Roman" w:cs="Times New Roman"/>
        </w:rPr>
      </w:pPr>
      <w:r>
        <w:rPr>
          <w:rFonts w:ascii="Times New Roman" w:hAnsi="Times New Roman" w:cs="Times New Roman"/>
        </w:rPr>
        <w:t xml:space="preserve">The impact of </w:t>
      </w:r>
      <w:r w:rsidR="009E2601">
        <w:rPr>
          <w:rFonts w:ascii="Times New Roman" w:hAnsi="Times New Roman" w:cs="Times New Roman"/>
        </w:rPr>
        <w:t>transpos</w:t>
      </w:r>
      <w:r>
        <w:rPr>
          <w:rFonts w:ascii="Times New Roman" w:hAnsi="Times New Roman" w:cs="Times New Roman"/>
        </w:rPr>
        <w:t xml:space="preserve">ing the Directive through </w:t>
      </w:r>
      <w:r w:rsidR="008603F6">
        <w:rPr>
          <w:rFonts w:ascii="Times New Roman" w:hAnsi="Times New Roman" w:cs="Times New Roman"/>
        </w:rPr>
        <w:t xml:space="preserve">the proposed </w:t>
      </w:r>
      <w:r>
        <w:rPr>
          <w:rFonts w:ascii="Times New Roman" w:hAnsi="Times New Roman" w:cs="Times New Roman"/>
        </w:rPr>
        <w:t xml:space="preserve">new Regulations is expected to be minimal </w:t>
      </w:r>
      <w:r w:rsidR="00087737">
        <w:rPr>
          <w:rFonts w:ascii="Times New Roman" w:hAnsi="Times New Roman" w:cs="Times New Roman"/>
        </w:rPr>
        <w:t xml:space="preserve">for the majority of employers </w:t>
      </w:r>
      <w:r>
        <w:rPr>
          <w:rFonts w:ascii="Times New Roman" w:hAnsi="Times New Roman" w:cs="Times New Roman"/>
        </w:rPr>
        <w:t xml:space="preserve">given that </w:t>
      </w:r>
      <w:r w:rsidR="00F44DEF">
        <w:rPr>
          <w:rFonts w:ascii="Times New Roman" w:hAnsi="Times New Roman" w:cs="Times New Roman"/>
        </w:rPr>
        <w:t>many</w:t>
      </w:r>
      <w:r>
        <w:rPr>
          <w:rFonts w:ascii="Times New Roman" w:hAnsi="Times New Roman" w:cs="Times New Roman"/>
        </w:rPr>
        <w:t xml:space="preserve"> of the obligations already exist in</w:t>
      </w:r>
      <w:r w:rsidR="00036F06">
        <w:rPr>
          <w:rFonts w:ascii="Times New Roman" w:hAnsi="Times New Roman" w:cs="Times New Roman"/>
        </w:rPr>
        <w:t xml:space="preserve"> principles expounded in the Safety</w:t>
      </w:r>
      <w:r w:rsidR="00056D17">
        <w:rPr>
          <w:rFonts w:ascii="Times New Roman" w:hAnsi="Times New Roman" w:cs="Times New Roman"/>
        </w:rPr>
        <w:t>,</w:t>
      </w:r>
      <w:r w:rsidR="00036F06">
        <w:rPr>
          <w:rFonts w:ascii="Times New Roman" w:hAnsi="Times New Roman" w:cs="Times New Roman"/>
        </w:rPr>
        <w:t xml:space="preserve"> Health and Welfare at Work Act</w:t>
      </w:r>
      <w:r w:rsidR="00056D17">
        <w:rPr>
          <w:rFonts w:ascii="Times New Roman" w:hAnsi="Times New Roman" w:cs="Times New Roman"/>
        </w:rPr>
        <w:t xml:space="preserve"> </w:t>
      </w:r>
      <w:r w:rsidR="00036F06">
        <w:rPr>
          <w:rFonts w:ascii="Times New Roman" w:hAnsi="Times New Roman" w:cs="Times New Roman"/>
        </w:rPr>
        <w:t xml:space="preserve">2005 and </w:t>
      </w:r>
      <w:r w:rsidR="000A6B4A">
        <w:rPr>
          <w:rFonts w:ascii="Times New Roman" w:hAnsi="Times New Roman" w:cs="Times New Roman"/>
        </w:rPr>
        <w:t xml:space="preserve">Part 2, Chapter 2, Use of Work Equipment and Part 3, Electricity of </w:t>
      </w:r>
      <w:r w:rsidR="00036F06">
        <w:rPr>
          <w:rFonts w:ascii="Times New Roman" w:hAnsi="Times New Roman" w:cs="Times New Roman"/>
        </w:rPr>
        <w:t>the Safety</w:t>
      </w:r>
      <w:r w:rsidR="00056D17">
        <w:rPr>
          <w:rFonts w:ascii="Times New Roman" w:hAnsi="Times New Roman" w:cs="Times New Roman"/>
        </w:rPr>
        <w:t>,</w:t>
      </w:r>
      <w:r w:rsidR="00036F06">
        <w:rPr>
          <w:rFonts w:ascii="Times New Roman" w:hAnsi="Times New Roman" w:cs="Times New Roman"/>
        </w:rPr>
        <w:t xml:space="preserve"> Health and Welfare at Work (</w:t>
      </w:r>
      <w:r w:rsidR="000A6B4A">
        <w:rPr>
          <w:rFonts w:ascii="Times New Roman" w:hAnsi="Times New Roman" w:cs="Times New Roman"/>
        </w:rPr>
        <w:t>General Application</w:t>
      </w:r>
      <w:r w:rsidR="00036F06">
        <w:rPr>
          <w:rFonts w:ascii="Times New Roman" w:hAnsi="Times New Roman" w:cs="Times New Roman"/>
        </w:rPr>
        <w:t xml:space="preserve">) Regulations </w:t>
      </w:r>
      <w:r w:rsidR="000A6B4A">
        <w:rPr>
          <w:rFonts w:ascii="Times New Roman" w:hAnsi="Times New Roman" w:cs="Times New Roman"/>
        </w:rPr>
        <w:t>2007</w:t>
      </w:r>
      <w:r w:rsidR="00036F06">
        <w:rPr>
          <w:rFonts w:ascii="Times New Roman" w:hAnsi="Times New Roman" w:cs="Times New Roman"/>
        </w:rPr>
        <w:t xml:space="preserve">. </w:t>
      </w:r>
      <w:r w:rsidR="001B47F3">
        <w:rPr>
          <w:rFonts w:ascii="Times New Roman" w:hAnsi="Times New Roman" w:cs="Times New Roman"/>
        </w:rPr>
        <w:t>However there will be compliance costs for employers in a number of specified sectors.</w:t>
      </w:r>
    </w:p>
    <w:p w14:paraId="4717F4C3" w14:textId="77777777" w:rsidR="00087737" w:rsidRDefault="00603589" w:rsidP="00565916">
      <w:pPr>
        <w:spacing w:line="360" w:lineRule="auto"/>
        <w:jc w:val="both"/>
        <w:rPr>
          <w:rFonts w:ascii="Times New Roman" w:hAnsi="Times New Roman" w:cs="Times New Roman"/>
        </w:rPr>
      </w:pPr>
      <w:r>
        <w:rPr>
          <w:rFonts w:ascii="Times New Roman" w:hAnsi="Times New Roman" w:cs="Times New Roman"/>
        </w:rPr>
        <w:t xml:space="preserve">The proposed new Regulations apply the same principles specifically to the issue of </w:t>
      </w:r>
      <w:r w:rsidR="000A6B4A">
        <w:rPr>
          <w:rFonts w:ascii="Times New Roman" w:hAnsi="Times New Roman" w:cs="Times New Roman"/>
        </w:rPr>
        <w:t>electromagnetic fields</w:t>
      </w:r>
      <w:r w:rsidR="00F44DEF">
        <w:rPr>
          <w:rFonts w:ascii="Times New Roman" w:hAnsi="Times New Roman" w:cs="Times New Roman"/>
        </w:rPr>
        <w:t xml:space="preserve"> but are more explicit </w:t>
      </w:r>
      <w:r w:rsidR="003243C5">
        <w:rPr>
          <w:rFonts w:ascii="Times New Roman" w:hAnsi="Times New Roman" w:cs="Times New Roman"/>
        </w:rPr>
        <w:t xml:space="preserve">and specific </w:t>
      </w:r>
      <w:r w:rsidR="00F44DEF">
        <w:rPr>
          <w:rFonts w:ascii="Times New Roman" w:hAnsi="Times New Roman" w:cs="Times New Roman"/>
        </w:rPr>
        <w:t>with regard to certain</w:t>
      </w:r>
      <w:r>
        <w:rPr>
          <w:rFonts w:ascii="Times New Roman" w:hAnsi="Times New Roman" w:cs="Times New Roman"/>
        </w:rPr>
        <w:t xml:space="preserve"> obligations </w:t>
      </w:r>
      <w:r w:rsidR="00F44DEF">
        <w:rPr>
          <w:rFonts w:ascii="Times New Roman" w:hAnsi="Times New Roman" w:cs="Times New Roman"/>
        </w:rPr>
        <w:t xml:space="preserve">such as </w:t>
      </w:r>
      <w:r w:rsidR="000A6B4A">
        <w:rPr>
          <w:rFonts w:ascii="Times New Roman" w:hAnsi="Times New Roman" w:cs="Times New Roman"/>
        </w:rPr>
        <w:t>exposure limit values</w:t>
      </w:r>
      <w:r w:rsidR="00DF4DF7">
        <w:rPr>
          <w:rFonts w:ascii="Times New Roman" w:hAnsi="Times New Roman" w:cs="Times New Roman"/>
        </w:rPr>
        <w:t>,</w:t>
      </w:r>
      <w:r w:rsidR="000A6B4A">
        <w:rPr>
          <w:rFonts w:ascii="Times New Roman" w:hAnsi="Times New Roman" w:cs="Times New Roman"/>
        </w:rPr>
        <w:t xml:space="preserve"> action levels, assessment of risk</w:t>
      </w:r>
      <w:r w:rsidR="00DF4DF7">
        <w:rPr>
          <w:rFonts w:ascii="Times New Roman" w:hAnsi="Times New Roman" w:cs="Times New Roman"/>
        </w:rPr>
        <w:t>,</w:t>
      </w:r>
      <w:r w:rsidR="000A6B4A">
        <w:rPr>
          <w:rFonts w:ascii="Times New Roman" w:hAnsi="Times New Roman" w:cs="Times New Roman"/>
        </w:rPr>
        <w:t xml:space="preserve"> determination of exposure, </w:t>
      </w:r>
      <w:r w:rsidR="003F6BA0">
        <w:rPr>
          <w:rFonts w:ascii="Times New Roman" w:hAnsi="Times New Roman" w:cs="Times New Roman"/>
        </w:rPr>
        <w:t>provisions aimed at avoiding or reducing risks, employee information</w:t>
      </w:r>
      <w:r w:rsidR="00DF4DF7">
        <w:rPr>
          <w:rFonts w:ascii="Times New Roman" w:hAnsi="Times New Roman" w:cs="Times New Roman"/>
        </w:rPr>
        <w:t>,</w:t>
      </w:r>
      <w:r w:rsidR="003F6BA0">
        <w:rPr>
          <w:rFonts w:ascii="Times New Roman" w:hAnsi="Times New Roman" w:cs="Times New Roman"/>
        </w:rPr>
        <w:t xml:space="preserve"> training, consultation and participation of employees and health surveillance</w:t>
      </w:r>
      <w:r w:rsidR="009E2211">
        <w:rPr>
          <w:rFonts w:ascii="Times New Roman" w:hAnsi="Times New Roman" w:cs="Times New Roman"/>
        </w:rPr>
        <w:t xml:space="preserve">. </w:t>
      </w:r>
      <w:r w:rsidR="008603F6">
        <w:rPr>
          <w:rFonts w:ascii="Times New Roman" w:hAnsi="Times New Roman" w:cs="Times New Roman"/>
        </w:rPr>
        <w:t xml:space="preserve"> </w:t>
      </w:r>
    </w:p>
    <w:p w14:paraId="4EF9F673" w14:textId="73517D99" w:rsidR="00850944" w:rsidRDefault="00850944" w:rsidP="00565916">
      <w:pPr>
        <w:spacing w:line="360" w:lineRule="auto"/>
        <w:jc w:val="both"/>
        <w:rPr>
          <w:rFonts w:ascii="Times New Roman" w:hAnsi="Times New Roman" w:cs="Times New Roman"/>
        </w:rPr>
      </w:pPr>
      <w:r>
        <w:rPr>
          <w:rFonts w:ascii="Times New Roman" w:hAnsi="Times New Roman" w:cs="Times New Roman"/>
        </w:rPr>
        <w:t xml:space="preserve">Exposure limit values may be exceeded for magnetic resonance imaging (MRI) equipment used in the healthcare sector provided other safe guards are implemented.  </w:t>
      </w:r>
    </w:p>
    <w:p w14:paraId="35337329" w14:textId="61C32260" w:rsidR="000C709B" w:rsidRDefault="00FF1557" w:rsidP="00565916">
      <w:pPr>
        <w:spacing w:line="360" w:lineRule="auto"/>
        <w:jc w:val="both"/>
        <w:rPr>
          <w:rFonts w:ascii="Times New Roman" w:hAnsi="Times New Roman" w:cs="Times New Roman"/>
        </w:rPr>
      </w:pPr>
      <w:r>
        <w:rPr>
          <w:rFonts w:ascii="Times New Roman" w:hAnsi="Times New Roman" w:cs="Times New Roman"/>
        </w:rPr>
        <w:t>All employers will be required to carry out an EMF risk assessment</w:t>
      </w:r>
      <w:r w:rsidR="0043582C">
        <w:rPr>
          <w:rFonts w:ascii="Times New Roman" w:hAnsi="Times New Roman" w:cs="Times New Roman"/>
        </w:rPr>
        <w:t>,</w:t>
      </w:r>
      <w:r>
        <w:rPr>
          <w:rFonts w:ascii="Times New Roman" w:hAnsi="Times New Roman" w:cs="Times New Roman"/>
        </w:rPr>
        <w:t xml:space="preserve"> </w:t>
      </w:r>
      <w:r w:rsidR="00E851F3">
        <w:rPr>
          <w:rFonts w:ascii="Times New Roman" w:hAnsi="Times New Roman" w:cs="Times New Roman"/>
        </w:rPr>
        <w:t>and the</w:t>
      </w:r>
      <w:r>
        <w:rPr>
          <w:rFonts w:ascii="Times New Roman" w:hAnsi="Times New Roman" w:cs="Times New Roman"/>
        </w:rPr>
        <w:t xml:space="preserve"> guidance prepared by the EU </w:t>
      </w:r>
      <w:r w:rsidR="001B47F3">
        <w:rPr>
          <w:rFonts w:ascii="Times New Roman" w:hAnsi="Times New Roman" w:cs="Times New Roman"/>
        </w:rPr>
        <w:t xml:space="preserve">Commission </w:t>
      </w:r>
      <w:r>
        <w:rPr>
          <w:rFonts w:ascii="Times New Roman" w:hAnsi="Times New Roman" w:cs="Times New Roman"/>
        </w:rPr>
        <w:t xml:space="preserve">should assist in making this a fairly simple exercise. </w:t>
      </w:r>
      <w:r w:rsidR="0043582C">
        <w:rPr>
          <w:rFonts w:ascii="Times New Roman" w:hAnsi="Times New Roman" w:cs="Times New Roman"/>
        </w:rPr>
        <w:t xml:space="preserve">For the majority of employers </w:t>
      </w:r>
      <w:r w:rsidR="001B47F3">
        <w:rPr>
          <w:rFonts w:ascii="Times New Roman" w:hAnsi="Times New Roman" w:cs="Times New Roman"/>
        </w:rPr>
        <w:t xml:space="preserve">this will not involve calculations or measurements and no further action is </w:t>
      </w:r>
      <w:r w:rsidR="00E851F3">
        <w:rPr>
          <w:rFonts w:ascii="Times New Roman" w:hAnsi="Times New Roman" w:cs="Times New Roman"/>
        </w:rPr>
        <w:t>needed. However</w:t>
      </w:r>
      <w:r>
        <w:rPr>
          <w:rFonts w:ascii="Times New Roman" w:hAnsi="Times New Roman" w:cs="Times New Roman"/>
        </w:rPr>
        <w:t xml:space="preserve"> there will be additional compliance costs and requirements for employers in a number of specified sectors</w:t>
      </w:r>
      <w:r w:rsidR="0043582C">
        <w:rPr>
          <w:rFonts w:ascii="Times New Roman" w:hAnsi="Times New Roman" w:cs="Times New Roman"/>
        </w:rPr>
        <w:t>,</w:t>
      </w:r>
      <w:r>
        <w:rPr>
          <w:rFonts w:ascii="Times New Roman" w:hAnsi="Times New Roman" w:cs="Times New Roman"/>
        </w:rPr>
        <w:t xml:space="preserve"> e.g. </w:t>
      </w:r>
      <w:r w:rsidR="00E851F3">
        <w:rPr>
          <w:rFonts w:ascii="Times New Roman" w:hAnsi="Times New Roman" w:cs="Times New Roman"/>
        </w:rPr>
        <w:t>telecommunications</w:t>
      </w:r>
      <w:r w:rsidR="0043582C">
        <w:rPr>
          <w:rFonts w:ascii="Times New Roman" w:hAnsi="Times New Roman" w:cs="Times New Roman"/>
        </w:rPr>
        <w:t>,</w:t>
      </w:r>
      <w:r>
        <w:rPr>
          <w:rFonts w:ascii="Times New Roman" w:hAnsi="Times New Roman" w:cs="Times New Roman"/>
        </w:rPr>
        <w:t xml:space="preserve"> where calc</w:t>
      </w:r>
      <w:r w:rsidR="001B47F3">
        <w:rPr>
          <w:rFonts w:ascii="Times New Roman" w:hAnsi="Times New Roman" w:cs="Times New Roman"/>
        </w:rPr>
        <w:t>u</w:t>
      </w:r>
      <w:r>
        <w:rPr>
          <w:rFonts w:ascii="Times New Roman" w:hAnsi="Times New Roman" w:cs="Times New Roman"/>
        </w:rPr>
        <w:t xml:space="preserve">lations </w:t>
      </w:r>
      <w:r w:rsidR="009F637A">
        <w:rPr>
          <w:rFonts w:ascii="Times New Roman" w:hAnsi="Times New Roman" w:cs="Times New Roman"/>
        </w:rPr>
        <w:t>or</w:t>
      </w:r>
      <w:r>
        <w:rPr>
          <w:rFonts w:ascii="Times New Roman" w:hAnsi="Times New Roman" w:cs="Times New Roman"/>
        </w:rPr>
        <w:t xml:space="preserve"> measurements will be required as part of the risk assessment. </w:t>
      </w:r>
      <w:r w:rsidR="001B47F3">
        <w:rPr>
          <w:rFonts w:ascii="Times New Roman" w:hAnsi="Times New Roman" w:cs="Times New Roman"/>
        </w:rPr>
        <w:t xml:space="preserve">The costs are likely to be proportionally higher for SMEs than </w:t>
      </w:r>
      <w:r w:rsidR="002F0300">
        <w:rPr>
          <w:rFonts w:ascii="Times New Roman" w:hAnsi="Times New Roman" w:cs="Times New Roman"/>
        </w:rPr>
        <w:t xml:space="preserve">for </w:t>
      </w:r>
      <w:r w:rsidR="001B47F3">
        <w:rPr>
          <w:rFonts w:ascii="Times New Roman" w:hAnsi="Times New Roman" w:cs="Times New Roman"/>
        </w:rPr>
        <w:t>bigger organisations. I</w:t>
      </w:r>
      <w:r>
        <w:rPr>
          <w:rFonts w:ascii="Times New Roman" w:hAnsi="Times New Roman" w:cs="Times New Roman"/>
        </w:rPr>
        <w:t xml:space="preserve">ndicative </w:t>
      </w:r>
      <w:r w:rsidR="00053C35">
        <w:rPr>
          <w:rFonts w:ascii="Times New Roman" w:hAnsi="Times New Roman" w:cs="Times New Roman"/>
        </w:rPr>
        <w:t>costs are outlined in section 5</w:t>
      </w:r>
      <w:r w:rsidR="002F0300">
        <w:rPr>
          <w:rFonts w:ascii="Times New Roman" w:hAnsi="Times New Roman" w:cs="Times New Roman"/>
        </w:rPr>
        <w:t>,</w:t>
      </w:r>
      <w:r w:rsidR="00053C35">
        <w:rPr>
          <w:rFonts w:ascii="Times New Roman" w:hAnsi="Times New Roman" w:cs="Times New Roman"/>
        </w:rPr>
        <w:t xml:space="preserve"> Impact Analysis.  However these </w:t>
      </w:r>
      <w:r w:rsidR="009E2211">
        <w:rPr>
          <w:rFonts w:ascii="Times New Roman" w:hAnsi="Times New Roman" w:cs="Times New Roman"/>
        </w:rPr>
        <w:t xml:space="preserve">costs are </w:t>
      </w:r>
      <w:r w:rsidR="00E851F3">
        <w:rPr>
          <w:rFonts w:ascii="Times New Roman" w:hAnsi="Times New Roman" w:cs="Times New Roman"/>
        </w:rPr>
        <w:t>not considered</w:t>
      </w:r>
      <w:r w:rsidR="00F44DEF">
        <w:rPr>
          <w:rFonts w:ascii="Times New Roman" w:hAnsi="Times New Roman" w:cs="Times New Roman"/>
        </w:rPr>
        <w:t xml:space="preserve"> to be disproportionate when balanced against the savings to be made by </w:t>
      </w:r>
      <w:r w:rsidR="003F6BA0">
        <w:rPr>
          <w:rFonts w:ascii="Times New Roman" w:hAnsi="Times New Roman" w:cs="Times New Roman"/>
        </w:rPr>
        <w:t xml:space="preserve">the </w:t>
      </w:r>
      <w:r w:rsidR="00B7423E">
        <w:rPr>
          <w:rFonts w:ascii="Times New Roman" w:hAnsi="Times New Roman" w:cs="Times New Roman"/>
        </w:rPr>
        <w:t>reduction of harmful</w:t>
      </w:r>
      <w:r w:rsidR="003F6BA0">
        <w:rPr>
          <w:rFonts w:ascii="Times New Roman" w:hAnsi="Times New Roman" w:cs="Times New Roman"/>
        </w:rPr>
        <w:t xml:space="preserve"> </w:t>
      </w:r>
      <w:r w:rsidR="000C709B">
        <w:rPr>
          <w:rFonts w:ascii="Times New Roman" w:hAnsi="Times New Roman" w:cs="Times New Roman"/>
        </w:rPr>
        <w:t xml:space="preserve">direct </w:t>
      </w:r>
      <w:r w:rsidR="003F6BA0">
        <w:rPr>
          <w:rFonts w:ascii="Times New Roman" w:hAnsi="Times New Roman" w:cs="Times New Roman"/>
        </w:rPr>
        <w:t>and indirect effects in employees caused by electromagnetic fields.</w:t>
      </w:r>
      <w:r w:rsidR="003243C5">
        <w:rPr>
          <w:rFonts w:ascii="Times New Roman" w:hAnsi="Times New Roman" w:cs="Times New Roman"/>
        </w:rPr>
        <w:t xml:space="preserve"> </w:t>
      </w:r>
    </w:p>
    <w:p w14:paraId="4E6C0D5C" w14:textId="345DC170" w:rsidR="000C709B" w:rsidRDefault="000C709B" w:rsidP="00565916">
      <w:pPr>
        <w:spacing w:line="360" w:lineRule="auto"/>
        <w:jc w:val="both"/>
        <w:rPr>
          <w:rFonts w:ascii="Times New Roman" w:hAnsi="Times New Roman" w:cs="Times New Roman"/>
        </w:rPr>
      </w:pPr>
      <w:r>
        <w:rPr>
          <w:rFonts w:ascii="Times New Roman" w:hAnsi="Times New Roman" w:cs="Times New Roman"/>
        </w:rPr>
        <w:lastRenderedPageBreak/>
        <w:t>Direct</w:t>
      </w:r>
      <w:r w:rsidR="00EC7B90">
        <w:rPr>
          <w:rFonts w:ascii="Times New Roman" w:hAnsi="Times New Roman" w:cs="Times New Roman"/>
        </w:rPr>
        <w:t xml:space="preserve"> effects are separated into </w:t>
      </w:r>
      <w:r w:rsidR="00E851F3">
        <w:rPr>
          <w:rFonts w:ascii="Times New Roman" w:hAnsi="Times New Roman" w:cs="Times New Roman"/>
        </w:rPr>
        <w:t>non-thermal</w:t>
      </w:r>
      <w:r w:rsidR="00EC7B90">
        <w:rPr>
          <w:rFonts w:ascii="Times New Roman" w:hAnsi="Times New Roman" w:cs="Times New Roman"/>
        </w:rPr>
        <w:t xml:space="preserve"> effects</w:t>
      </w:r>
      <w:r w:rsidR="002F0300">
        <w:rPr>
          <w:rFonts w:ascii="Times New Roman" w:hAnsi="Times New Roman" w:cs="Times New Roman"/>
        </w:rPr>
        <w:t>,</w:t>
      </w:r>
      <w:r w:rsidR="00EC7B90">
        <w:rPr>
          <w:rFonts w:ascii="Times New Roman" w:hAnsi="Times New Roman" w:cs="Times New Roman"/>
        </w:rPr>
        <w:t xml:space="preserve"> such as the stimulation of nerves, muscles and sensory organs</w:t>
      </w:r>
      <w:r w:rsidR="002F0300">
        <w:rPr>
          <w:rFonts w:ascii="Times New Roman" w:hAnsi="Times New Roman" w:cs="Times New Roman"/>
        </w:rPr>
        <w:t>,</w:t>
      </w:r>
      <w:r w:rsidR="00EC7B90">
        <w:rPr>
          <w:rFonts w:ascii="Times New Roman" w:hAnsi="Times New Roman" w:cs="Times New Roman"/>
        </w:rPr>
        <w:t xml:space="preserve"> and thermal effects </w:t>
      </w:r>
      <w:r w:rsidR="00E851F3">
        <w:rPr>
          <w:rFonts w:ascii="Times New Roman" w:hAnsi="Times New Roman" w:cs="Times New Roman"/>
        </w:rPr>
        <w:t>such</w:t>
      </w:r>
      <w:r w:rsidR="00EC7B90">
        <w:rPr>
          <w:rFonts w:ascii="Times New Roman" w:hAnsi="Times New Roman" w:cs="Times New Roman"/>
        </w:rPr>
        <w:t xml:space="preserve"> as tissue heating.</w:t>
      </w:r>
    </w:p>
    <w:p w14:paraId="4E71EA62" w14:textId="71D496AC" w:rsidR="00EC7B90" w:rsidRDefault="00EC7B90" w:rsidP="00565916">
      <w:pPr>
        <w:spacing w:line="360" w:lineRule="auto"/>
        <w:jc w:val="both"/>
        <w:rPr>
          <w:rFonts w:ascii="Times New Roman" w:hAnsi="Times New Roman" w:cs="Times New Roman"/>
        </w:rPr>
      </w:pPr>
      <w:r>
        <w:rPr>
          <w:rFonts w:ascii="Times New Roman" w:hAnsi="Times New Roman" w:cs="Times New Roman"/>
        </w:rPr>
        <w:t>Indirect effects occur where the presence of an object within an electromagnetic field may become the cause of a safety or health hazard</w:t>
      </w:r>
      <w:r w:rsidR="0043582C">
        <w:rPr>
          <w:rFonts w:ascii="Times New Roman" w:hAnsi="Times New Roman" w:cs="Times New Roman"/>
        </w:rPr>
        <w:t xml:space="preserve">, </w:t>
      </w:r>
      <w:r>
        <w:rPr>
          <w:rFonts w:ascii="Times New Roman" w:hAnsi="Times New Roman" w:cs="Times New Roman"/>
        </w:rPr>
        <w:t xml:space="preserve">e.g. interference with medical equipment or implanted </w:t>
      </w:r>
      <w:r w:rsidR="00053C35">
        <w:rPr>
          <w:rFonts w:ascii="Times New Roman" w:hAnsi="Times New Roman" w:cs="Times New Roman"/>
        </w:rPr>
        <w:t xml:space="preserve">body </w:t>
      </w:r>
      <w:r>
        <w:rPr>
          <w:rFonts w:ascii="Times New Roman" w:hAnsi="Times New Roman" w:cs="Times New Roman"/>
        </w:rPr>
        <w:t>devi</w:t>
      </w:r>
      <w:r w:rsidR="001B47F3">
        <w:rPr>
          <w:rFonts w:ascii="Times New Roman" w:hAnsi="Times New Roman" w:cs="Times New Roman"/>
        </w:rPr>
        <w:t>c</w:t>
      </w:r>
      <w:r>
        <w:rPr>
          <w:rFonts w:ascii="Times New Roman" w:hAnsi="Times New Roman" w:cs="Times New Roman"/>
        </w:rPr>
        <w:t>es</w:t>
      </w:r>
      <w:r w:rsidR="00053C35">
        <w:rPr>
          <w:rFonts w:ascii="Times New Roman" w:hAnsi="Times New Roman" w:cs="Times New Roman"/>
        </w:rPr>
        <w:t>.</w:t>
      </w:r>
    </w:p>
    <w:p w14:paraId="34698401" w14:textId="03A53F12" w:rsidR="00850944" w:rsidRDefault="003243C5" w:rsidP="00565916">
      <w:pPr>
        <w:spacing w:line="360" w:lineRule="auto"/>
        <w:jc w:val="both"/>
        <w:rPr>
          <w:rFonts w:ascii="Times New Roman" w:hAnsi="Times New Roman" w:cs="Times New Roman"/>
        </w:rPr>
      </w:pPr>
      <w:r>
        <w:rPr>
          <w:rFonts w:ascii="Times New Roman" w:hAnsi="Times New Roman" w:cs="Times New Roman"/>
        </w:rPr>
        <w:t>The Directive and the proposed Regulations do not cover long term effects</w:t>
      </w:r>
      <w:r w:rsidR="0043582C">
        <w:rPr>
          <w:rFonts w:ascii="Times New Roman" w:hAnsi="Times New Roman" w:cs="Times New Roman"/>
        </w:rPr>
        <w:t>,</w:t>
      </w:r>
      <w:r>
        <w:rPr>
          <w:rFonts w:ascii="Times New Roman" w:hAnsi="Times New Roman" w:cs="Times New Roman"/>
        </w:rPr>
        <w:t xml:space="preserve"> e.g. cancer. Neither do they include risks resulting from contact with live conductors.</w:t>
      </w:r>
    </w:p>
    <w:p w14:paraId="3F95F564" w14:textId="77777777" w:rsidR="007E3F20" w:rsidRPr="007E3F20" w:rsidRDefault="007E3F20" w:rsidP="00565916">
      <w:pPr>
        <w:pStyle w:val="Heading1"/>
        <w:numPr>
          <w:ilvl w:val="0"/>
          <w:numId w:val="7"/>
        </w:numPr>
        <w:spacing w:line="360" w:lineRule="auto"/>
        <w:ind w:hanging="720"/>
        <w:jc w:val="both"/>
      </w:pPr>
      <w:bookmarkStart w:id="1" w:name="_Toc306957868"/>
      <w:r>
        <w:t>Policy context</w:t>
      </w:r>
      <w:bookmarkEnd w:id="1"/>
    </w:p>
    <w:p w14:paraId="140EBEFE" w14:textId="4CB1A646" w:rsidR="00DF4DF7" w:rsidRDefault="00515A09" w:rsidP="00565916">
      <w:pPr>
        <w:spacing w:line="360" w:lineRule="auto"/>
        <w:jc w:val="both"/>
        <w:rPr>
          <w:rFonts w:ascii="Times New Roman" w:hAnsi="Times New Roman" w:cs="Times New Roman"/>
        </w:rPr>
      </w:pPr>
      <w:r w:rsidRPr="00AD6B53">
        <w:rPr>
          <w:rFonts w:ascii="Times New Roman" w:hAnsi="Times New Roman" w:cs="Times New Roman"/>
        </w:rPr>
        <w:t>This</w:t>
      </w:r>
      <w:r w:rsidR="00D428CC">
        <w:rPr>
          <w:rFonts w:ascii="Times New Roman" w:hAnsi="Times New Roman" w:cs="Times New Roman"/>
        </w:rPr>
        <w:t xml:space="preserve"> R</w:t>
      </w:r>
      <w:r w:rsidR="003600B2">
        <w:rPr>
          <w:rFonts w:ascii="Times New Roman" w:hAnsi="Times New Roman" w:cs="Times New Roman"/>
        </w:rPr>
        <w:t>IA</w:t>
      </w:r>
      <w:r w:rsidR="00D428CC">
        <w:rPr>
          <w:rFonts w:ascii="Times New Roman" w:hAnsi="Times New Roman" w:cs="Times New Roman"/>
        </w:rPr>
        <w:t xml:space="preserve"> assesses the</w:t>
      </w:r>
      <w:r w:rsidRPr="00AD6B53">
        <w:rPr>
          <w:rFonts w:ascii="Times New Roman" w:hAnsi="Times New Roman" w:cs="Times New Roman"/>
        </w:rPr>
        <w:t xml:space="preserve"> legislative proposal t</w:t>
      </w:r>
      <w:r w:rsidR="00D428CC">
        <w:rPr>
          <w:rFonts w:ascii="Times New Roman" w:hAnsi="Times New Roman" w:cs="Times New Roman"/>
        </w:rPr>
        <w:t>o t</w:t>
      </w:r>
      <w:r w:rsidRPr="00AD6B53">
        <w:rPr>
          <w:rFonts w:ascii="Times New Roman" w:hAnsi="Times New Roman" w:cs="Times New Roman"/>
        </w:rPr>
        <w:t>ranspose Council Directive 201</w:t>
      </w:r>
      <w:r w:rsidR="00DF4DF7">
        <w:rPr>
          <w:rFonts w:ascii="Times New Roman" w:hAnsi="Times New Roman" w:cs="Times New Roman"/>
        </w:rPr>
        <w:t>3</w:t>
      </w:r>
      <w:r w:rsidRPr="00AD6B53">
        <w:rPr>
          <w:rFonts w:ascii="Times New Roman" w:hAnsi="Times New Roman" w:cs="Times New Roman"/>
        </w:rPr>
        <w:t>/3</w:t>
      </w:r>
      <w:r w:rsidR="00DF4DF7">
        <w:rPr>
          <w:rFonts w:ascii="Times New Roman" w:hAnsi="Times New Roman" w:cs="Times New Roman"/>
        </w:rPr>
        <w:t>5</w:t>
      </w:r>
      <w:r w:rsidRPr="00AD6B53">
        <w:rPr>
          <w:rFonts w:ascii="Times New Roman" w:hAnsi="Times New Roman" w:cs="Times New Roman"/>
        </w:rPr>
        <w:t xml:space="preserve">/EU of the </w:t>
      </w:r>
      <w:r w:rsidR="00DF4DF7">
        <w:rPr>
          <w:rFonts w:ascii="Times New Roman" w:hAnsi="Times New Roman" w:cs="Times New Roman"/>
        </w:rPr>
        <w:t>26</w:t>
      </w:r>
      <w:r w:rsidR="00DF4DF7" w:rsidRPr="00DF4DF7">
        <w:rPr>
          <w:rFonts w:ascii="Times New Roman" w:hAnsi="Times New Roman" w:cs="Times New Roman"/>
          <w:vertAlign w:val="superscript"/>
        </w:rPr>
        <w:t>th</w:t>
      </w:r>
      <w:r w:rsidR="00DF4DF7">
        <w:rPr>
          <w:rFonts w:ascii="Times New Roman" w:hAnsi="Times New Roman" w:cs="Times New Roman"/>
        </w:rPr>
        <w:t xml:space="preserve"> June 2013</w:t>
      </w:r>
      <w:r w:rsidRPr="00AD6B53">
        <w:rPr>
          <w:rFonts w:ascii="Times New Roman" w:hAnsi="Times New Roman" w:cs="Times New Roman"/>
        </w:rPr>
        <w:t xml:space="preserve">.  The Directive implements </w:t>
      </w:r>
      <w:r w:rsidR="00E851F3" w:rsidRPr="00AD6B53">
        <w:rPr>
          <w:rFonts w:ascii="Times New Roman" w:hAnsi="Times New Roman" w:cs="Times New Roman"/>
        </w:rPr>
        <w:t xml:space="preserve">the </w:t>
      </w:r>
      <w:r w:rsidR="00E851F3">
        <w:rPr>
          <w:rFonts w:ascii="Times New Roman" w:hAnsi="Times New Roman" w:cs="Times New Roman"/>
        </w:rPr>
        <w:t>minimum</w:t>
      </w:r>
      <w:r w:rsidR="00DF4DF7">
        <w:rPr>
          <w:rFonts w:ascii="Times New Roman" w:hAnsi="Times New Roman" w:cs="Times New Roman"/>
        </w:rPr>
        <w:t xml:space="preserve"> health and safety requirements regarding the exposure of workers to the risks arising from physical agents (electromagnetic fields) (20</w:t>
      </w:r>
      <w:r w:rsidR="00DF4DF7" w:rsidRPr="000A6B4A">
        <w:rPr>
          <w:rFonts w:ascii="Times New Roman" w:hAnsi="Times New Roman" w:cs="Times New Roman"/>
          <w:vertAlign w:val="superscript"/>
        </w:rPr>
        <w:t>th</w:t>
      </w:r>
      <w:r w:rsidR="00DF4DF7">
        <w:rPr>
          <w:rFonts w:ascii="Times New Roman" w:hAnsi="Times New Roman" w:cs="Times New Roman"/>
        </w:rPr>
        <w:t xml:space="preserve"> individual Directive within the meaning of Article 16(1) of Directive 89/391/EEC and repealing Directive 2004/40/EC.  The deadline for Member States to comply with the Directive</w:t>
      </w:r>
      <w:r w:rsidR="00DF4DF7" w:rsidRPr="00AD6B53">
        <w:rPr>
          <w:rFonts w:ascii="Times New Roman" w:hAnsi="Times New Roman" w:cs="Times New Roman"/>
        </w:rPr>
        <w:t xml:space="preserve"> </w:t>
      </w:r>
      <w:r w:rsidR="00DF4DF7">
        <w:rPr>
          <w:rFonts w:ascii="Times New Roman" w:hAnsi="Times New Roman" w:cs="Times New Roman"/>
        </w:rPr>
        <w:t>is 1</w:t>
      </w:r>
      <w:r w:rsidR="00DF4DF7" w:rsidRPr="000A6B4A">
        <w:rPr>
          <w:rFonts w:ascii="Times New Roman" w:hAnsi="Times New Roman" w:cs="Times New Roman"/>
          <w:vertAlign w:val="superscript"/>
        </w:rPr>
        <w:t>st</w:t>
      </w:r>
      <w:r w:rsidR="00DF4DF7">
        <w:rPr>
          <w:rFonts w:ascii="Times New Roman" w:hAnsi="Times New Roman" w:cs="Times New Roman"/>
        </w:rPr>
        <w:t xml:space="preserve"> July 2016</w:t>
      </w:r>
      <w:r w:rsidR="00DF4DF7" w:rsidRPr="00AD6B53">
        <w:rPr>
          <w:rFonts w:ascii="Times New Roman" w:hAnsi="Times New Roman" w:cs="Times New Roman"/>
        </w:rPr>
        <w:t xml:space="preserve">.  </w:t>
      </w:r>
      <w:r w:rsidR="00053C35">
        <w:rPr>
          <w:rFonts w:ascii="Times New Roman" w:hAnsi="Times New Roman" w:cs="Times New Roman"/>
        </w:rPr>
        <w:t>Similar to the majority of EU member states, Directive 2004/40/EC was never enacted in Ireland</w:t>
      </w:r>
      <w:r w:rsidR="00850944">
        <w:rPr>
          <w:rFonts w:ascii="Times New Roman" w:hAnsi="Times New Roman" w:cs="Times New Roman"/>
        </w:rPr>
        <w:t xml:space="preserve"> because it was deemed to be to</w:t>
      </w:r>
      <w:r w:rsidR="00057C04">
        <w:rPr>
          <w:rFonts w:ascii="Times New Roman" w:hAnsi="Times New Roman" w:cs="Times New Roman"/>
        </w:rPr>
        <w:t>o</w:t>
      </w:r>
      <w:r w:rsidR="00850944">
        <w:rPr>
          <w:rFonts w:ascii="Times New Roman" w:hAnsi="Times New Roman" w:cs="Times New Roman"/>
        </w:rPr>
        <w:t xml:space="preserve"> </w:t>
      </w:r>
      <w:r w:rsidR="001B47F3">
        <w:rPr>
          <w:rFonts w:ascii="Times New Roman" w:hAnsi="Times New Roman" w:cs="Times New Roman"/>
        </w:rPr>
        <w:t>onerous</w:t>
      </w:r>
      <w:r w:rsidR="00850944">
        <w:rPr>
          <w:rFonts w:ascii="Times New Roman" w:hAnsi="Times New Roman" w:cs="Times New Roman"/>
        </w:rPr>
        <w:t>, especially as regards the use of MRI equipment</w:t>
      </w:r>
      <w:r w:rsidR="001B47F3">
        <w:rPr>
          <w:rFonts w:ascii="Times New Roman" w:hAnsi="Times New Roman" w:cs="Times New Roman"/>
        </w:rPr>
        <w:t xml:space="preserve"> in the healthcare sector</w:t>
      </w:r>
      <w:r w:rsidR="00850944">
        <w:rPr>
          <w:rFonts w:ascii="Times New Roman" w:hAnsi="Times New Roman" w:cs="Times New Roman"/>
        </w:rPr>
        <w:t>.</w:t>
      </w:r>
    </w:p>
    <w:p w14:paraId="0FBC5331" w14:textId="29DD94B8" w:rsidR="003243C5" w:rsidRDefault="0099661A" w:rsidP="00565916">
      <w:pPr>
        <w:spacing w:line="360" w:lineRule="auto"/>
        <w:jc w:val="both"/>
        <w:rPr>
          <w:rFonts w:ascii="Times New Roman" w:hAnsi="Times New Roman" w:cs="Times New Roman"/>
        </w:rPr>
      </w:pPr>
      <w:r w:rsidRPr="00AD6B53">
        <w:rPr>
          <w:rFonts w:ascii="Times New Roman" w:hAnsi="Times New Roman" w:cs="Times New Roman"/>
        </w:rPr>
        <w:t xml:space="preserve">The Authority </w:t>
      </w:r>
      <w:r w:rsidR="00387131">
        <w:rPr>
          <w:rFonts w:ascii="Times New Roman" w:hAnsi="Times New Roman" w:cs="Times New Roman"/>
        </w:rPr>
        <w:t>is</w:t>
      </w:r>
      <w:r w:rsidRPr="00AD6B53">
        <w:rPr>
          <w:rFonts w:ascii="Times New Roman" w:hAnsi="Times New Roman" w:cs="Times New Roman"/>
        </w:rPr>
        <w:t xml:space="preserve"> the agency with responsibility for enforcing th</w:t>
      </w:r>
      <w:r w:rsidR="00087737">
        <w:rPr>
          <w:rFonts w:ascii="Times New Roman" w:hAnsi="Times New Roman" w:cs="Times New Roman"/>
        </w:rPr>
        <w:t>is</w:t>
      </w:r>
      <w:r w:rsidRPr="00AD6B53">
        <w:rPr>
          <w:rFonts w:ascii="Times New Roman" w:hAnsi="Times New Roman" w:cs="Times New Roman"/>
        </w:rPr>
        <w:t xml:space="preserve"> new legislation</w:t>
      </w:r>
      <w:r w:rsidR="00387131">
        <w:rPr>
          <w:rFonts w:ascii="Times New Roman" w:hAnsi="Times New Roman" w:cs="Times New Roman"/>
        </w:rPr>
        <w:t xml:space="preserve"> in Ireland</w:t>
      </w:r>
      <w:r w:rsidRPr="00AD6B53">
        <w:rPr>
          <w:rFonts w:ascii="Times New Roman" w:hAnsi="Times New Roman" w:cs="Times New Roman"/>
        </w:rPr>
        <w:t xml:space="preserve">.  </w:t>
      </w:r>
      <w:r w:rsidR="00871BA3">
        <w:rPr>
          <w:rFonts w:ascii="Times New Roman" w:hAnsi="Times New Roman" w:cs="Times New Roman"/>
        </w:rPr>
        <w:t xml:space="preserve">In current </w:t>
      </w:r>
      <w:r w:rsidR="007E3F20">
        <w:rPr>
          <w:rFonts w:ascii="Times New Roman" w:hAnsi="Times New Roman" w:cs="Times New Roman"/>
        </w:rPr>
        <w:t>Irish legislation</w:t>
      </w:r>
      <w:r w:rsidR="00AD6B53" w:rsidRPr="00AD6B53">
        <w:rPr>
          <w:rFonts w:ascii="Times New Roman" w:hAnsi="Times New Roman" w:cs="Times New Roman"/>
        </w:rPr>
        <w:t xml:space="preserve"> the </w:t>
      </w:r>
      <w:r w:rsidRPr="00AD6B53">
        <w:rPr>
          <w:rFonts w:ascii="Times New Roman" w:hAnsi="Times New Roman" w:cs="Times New Roman"/>
        </w:rPr>
        <w:t>main</w:t>
      </w:r>
      <w:r w:rsidR="00387131">
        <w:rPr>
          <w:rFonts w:ascii="Times New Roman" w:hAnsi="Times New Roman" w:cs="Times New Roman"/>
        </w:rPr>
        <w:t xml:space="preserve"> provisions relati</w:t>
      </w:r>
      <w:r w:rsidRPr="00AD6B53">
        <w:rPr>
          <w:rFonts w:ascii="Times New Roman" w:hAnsi="Times New Roman" w:cs="Times New Roman"/>
        </w:rPr>
        <w:t xml:space="preserve">ng </w:t>
      </w:r>
      <w:r w:rsidR="00387131">
        <w:rPr>
          <w:rFonts w:ascii="Times New Roman" w:hAnsi="Times New Roman" w:cs="Times New Roman"/>
        </w:rPr>
        <w:t xml:space="preserve">to </w:t>
      </w:r>
      <w:r w:rsidRPr="00AD6B53">
        <w:rPr>
          <w:rFonts w:ascii="Times New Roman" w:hAnsi="Times New Roman" w:cs="Times New Roman"/>
        </w:rPr>
        <w:t>the risk of exposure to</w:t>
      </w:r>
      <w:r w:rsidR="00DF4DF7">
        <w:rPr>
          <w:rFonts w:ascii="Times New Roman" w:hAnsi="Times New Roman" w:cs="Times New Roman"/>
        </w:rPr>
        <w:t xml:space="preserve"> electromagnetic fields</w:t>
      </w:r>
      <w:r w:rsidRPr="00AD6B53">
        <w:rPr>
          <w:rFonts w:ascii="Times New Roman" w:hAnsi="Times New Roman" w:cs="Times New Roman"/>
        </w:rPr>
        <w:t xml:space="preserve"> at work </w:t>
      </w:r>
      <w:r w:rsidR="00387131">
        <w:rPr>
          <w:rFonts w:ascii="Times New Roman" w:hAnsi="Times New Roman" w:cs="Times New Roman"/>
        </w:rPr>
        <w:t xml:space="preserve">are </w:t>
      </w:r>
      <w:r w:rsidR="00EC7B90">
        <w:rPr>
          <w:rFonts w:ascii="Times New Roman" w:hAnsi="Times New Roman" w:cs="Times New Roman"/>
        </w:rPr>
        <w:t xml:space="preserve">already </w:t>
      </w:r>
      <w:r w:rsidR="00387131">
        <w:rPr>
          <w:rFonts w:ascii="Times New Roman" w:hAnsi="Times New Roman" w:cs="Times New Roman"/>
        </w:rPr>
        <w:t>contained</w:t>
      </w:r>
      <w:r w:rsidR="006A3DC5">
        <w:rPr>
          <w:rFonts w:ascii="Times New Roman" w:hAnsi="Times New Roman" w:cs="Times New Roman"/>
        </w:rPr>
        <w:t>,</w:t>
      </w:r>
      <w:r w:rsidR="00387131">
        <w:rPr>
          <w:rFonts w:ascii="Times New Roman" w:hAnsi="Times New Roman" w:cs="Times New Roman"/>
        </w:rPr>
        <w:t xml:space="preserve"> </w:t>
      </w:r>
      <w:r w:rsidR="003243C5">
        <w:rPr>
          <w:rFonts w:ascii="Times New Roman" w:hAnsi="Times New Roman" w:cs="Times New Roman"/>
        </w:rPr>
        <w:t>generally</w:t>
      </w:r>
      <w:r w:rsidR="006A3DC5">
        <w:rPr>
          <w:rFonts w:ascii="Times New Roman" w:hAnsi="Times New Roman" w:cs="Times New Roman"/>
        </w:rPr>
        <w:t>,</w:t>
      </w:r>
      <w:r w:rsidR="003243C5">
        <w:rPr>
          <w:rFonts w:ascii="Times New Roman" w:hAnsi="Times New Roman" w:cs="Times New Roman"/>
        </w:rPr>
        <w:t xml:space="preserve"> </w:t>
      </w:r>
      <w:r w:rsidR="00387131">
        <w:rPr>
          <w:rFonts w:ascii="Times New Roman" w:hAnsi="Times New Roman" w:cs="Times New Roman"/>
        </w:rPr>
        <w:t>in</w:t>
      </w:r>
      <w:r w:rsidRPr="00AD6B53">
        <w:rPr>
          <w:rFonts w:ascii="Times New Roman" w:hAnsi="Times New Roman" w:cs="Times New Roman"/>
        </w:rPr>
        <w:t xml:space="preserve"> the Safety, Health and Welfare at Work Act, 2005 and the Safety, </w:t>
      </w:r>
      <w:r w:rsidRPr="00250C6F">
        <w:rPr>
          <w:rFonts w:ascii="Times New Roman" w:hAnsi="Times New Roman" w:cs="Times New Roman"/>
        </w:rPr>
        <w:t>Health and Welfare at Work (</w:t>
      </w:r>
      <w:r w:rsidR="00DF4DF7">
        <w:rPr>
          <w:rFonts w:ascii="Times New Roman" w:hAnsi="Times New Roman" w:cs="Times New Roman"/>
        </w:rPr>
        <w:t>General Application</w:t>
      </w:r>
      <w:r w:rsidRPr="00250C6F">
        <w:rPr>
          <w:rFonts w:ascii="Times New Roman" w:hAnsi="Times New Roman" w:cs="Times New Roman"/>
        </w:rPr>
        <w:t xml:space="preserve">) Regulations, </w:t>
      </w:r>
      <w:r w:rsidR="00DF4DF7">
        <w:rPr>
          <w:rFonts w:ascii="Times New Roman" w:hAnsi="Times New Roman" w:cs="Times New Roman"/>
        </w:rPr>
        <w:t>2007</w:t>
      </w:r>
      <w:r w:rsidRPr="00250C6F">
        <w:rPr>
          <w:rFonts w:ascii="Times New Roman" w:hAnsi="Times New Roman" w:cs="Times New Roman"/>
        </w:rPr>
        <w:t xml:space="preserve">.  </w:t>
      </w:r>
      <w:r w:rsidR="001106D2" w:rsidRPr="00250C6F">
        <w:rPr>
          <w:rFonts w:ascii="Times New Roman" w:hAnsi="Times New Roman" w:cs="Times New Roman"/>
        </w:rPr>
        <w:t xml:space="preserve">The proposed new Regulations </w:t>
      </w:r>
      <w:r w:rsidR="003243C5">
        <w:rPr>
          <w:rFonts w:ascii="Times New Roman" w:hAnsi="Times New Roman" w:cs="Times New Roman"/>
        </w:rPr>
        <w:t xml:space="preserve">have specific </w:t>
      </w:r>
      <w:r w:rsidR="001106D2" w:rsidRPr="00250C6F">
        <w:rPr>
          <w:rFonts w:ascii="Times New Roman" w:hAnsi="Times New Roman" w:cs="Times New Roman"/>
        </w:rPr>
        <w:t xml:space="preserve">requirements </w:t>
      </w:r>
      <w:r w:rsidR="00FC533B">
        <w:rPr>
          <w:rFonts w:ascii="Times New Roman" w:hAnsi="Times New Roman" w:cs="Times New Roman"/>
        </w:rPr>
        <w:t>related</w:t>
      </w:r>
      <w:r w:rsidR="001106D2" w:rsidRPr="00250C6F">
        <w:rPr>
          <w:rFonts w:ascii="Times New Roman" w:hAnsi="Times New Roman" w:cs="Times New Roman"/>
        </w:rPr>
        <w:t xml:space="preserve"> to the prevention of </w:t>
      </w:r>
      <w:r w:rsidR="003243C5">
        <w:rPr>
          <w:rFonts w:ascii="Times New Roman" w:hAnsi="Times New Roman" w:cs="Times New Roman"/>
        </w:rPr>
        <w:t>direct and indirect effects caused by electromagnetic fields</w:t>
      </w:r>
      <w:r w:rsidR="00FC533B">
        <w:rPr>
          <w:rFonts w:ascii="Times New Roman" w:hAnsi="Times New Roman" w:cs="Times New Roman"/>
        </w:rPr>
        <w:t xml:space="preserve">.  </w:t>
      </w:r>
    </w:p>
    <w:p w14:paraId="640C9B9E" w14:textId="77777777" w:rsidR="00691181" w:rsidRPr="00691181" w:rsidRDefault="008A2044" w:rsidP="00565916">
      <w:pPr>
        <w:pStyle w:val="Heading1"/>
        <w:numPr>
          <w:ilvl w:val="0"/>
          <w:numId w:val="7"/>
        </w:numPr>
        <w:spacing w:line="360" w:lineRule="auto"/>
        <w:ind w:hanging="720"/>
        <w:jc w:val="both"/>
      </w:pPr>
      <w:bookmarkStart w:id="2" w:name="_Toc306957869"/>
      <w:r>
        <w:t>Objectives</w:t>
      </w:r>
      <w:bookmarkEnd w:id="2"/>
      <w:r>
        <w:t xml:space="preserve"> </w:t>
      </w:r>
    </w:p>
    <w:p w14:paraId="52BADC75" w14:textId="4FEA1BDB" w:rsidR="008A2044" w:rsidRDefault="0098471D" w:rsidP="00565916">
      <w:pPr>
        <w:spacing w:line="360" w:lineRule="auto"/>
        <w:jc w:val="both"/>
        <w:rPr>
          <w:rFonts w:ascii="Times New Roman" w:hAnsi="Times New Roman" w:cs="Times New Roman"/>
        </w:rPr>
      </w:pPr>
      <w:r>
        <w:rPr>
          <w:rFonts w:ascii="Times New Roman" w:hAnsi="Times New Roman" w:cs="Times New Roman"/>
        </w:rPr>
        <w:t xml:space="preserve">The primary objective of the proposed legislation is to </w:t>
      </w:r>
      <w:r w:rsidR="00056A4E">
        <w:rPr>
          <w:rFonts w:ascii="Times New Roman" w:hAnsi="Times New Roman" w:cs="Times New Roman"/>
        </w:rPr>
        <w:t>increase the level of protection for</w:t>
      </w:r>
      <w:r>
        <w:rPr>
          <w:rFonts w:ascii="Times New Roman" w:hAnsi="Times New Roman" w:cs="Times New Roman"/>
        </w:rPr>
        <w:t xml:space="preserve"> workers</w:t>
      </w:r>
      <w:r w:rsidR="00B7423E">
        <w:rPr>
          <w:rFonts w:ascii="Times New Roman" w:hAnsi="Times New Roman" w:cs="Times New Roman"/>
        </w:rPr>
        <w:t xml:space="preserve"> exposed to electromagnetic </w:t>
      </w:r>
      <w:r w:rsidR="00E851F3">
        <w:rPr>
          <w:rFonts w:ascii="Times New Roman" w:hAnsi="Times New Roman" w:cs="Times New Roman"/>
        </w:rPr>
        <w:t>fields in</w:t>
      </w:r>
      <w:r>
        <w:rPr>
          <w:rFonts w:ascii="Times New Roman" w:hAnsi="Times New Roman" w:cs="Times New Roman"/>
        </w:rPr>
        <w:t xml:space="preserve"> the course of their work.  </w:t>
      </w:r>
    </w:p>
    <w:p w14:paraId="65A84919" w14:textId="28C314B1" w:rsidR="0098471D" w:rsidRDefault="0098471D" w:rsidP="00565916">
      <w:pPr>
        <w:spacing w:line="360" w:lineRule="auto"/>
        <w:jc w:val="both"/>
        <w:rPr>
          <w:rFonts w:ascii="Times New Roman" w:hAnsi="Times New Roman" w:cs="Times New Roman"/>
        </w:rPr>
      </w:pPr>
      <w:r>
        <w:rPr>
          <w:rFonts w:ascii="Times New Roman" w:hAnsi="Times New Roman" w:cs="Times New Roman"/>
        </w:rPr>
        <w:t xml:space="preserve">A secondary objective is to ensure that Ireland complies with </w:t>
      </w:r>
      <w:r w:rsidR="00E94E77">
        <w:rPr>
          <w:rFonts w:ascii="Times New Roman" w:hAnsi="Times New Roman" w:cs="Times New Roman"/>
        </w:rPr>
        <w:t xml:space="preserve">the </w:t>
      </w:r>
      <w:r>
        <w:rPr>
          <w:rFonts w:ascii="Times New Roman" w:hAnsi="Times New Roman" w:cs="Times New Roman"/>
        </w:rPr>
        <w:t xml:space="preserve">Directive by the deadline of </w:t>
      </w:r>
      <w:r w:rsidR="00B7423E">
        <w:rPr>
          <w:rFonts w:ascii="Times New Roman" w:hAnsi="Times New Roman" w:cs="Times New Roman"/>
        </w:rPr>
        <w:t>1</w:t>
      </w:r>
      <w:r w:rsidR="00B7423E" w:rsidRPr="00B7423E">
        <w:rPr>
          <w:rFonts w:ascii="Times New Roman" w:hAnsi="Times New Roman" w:cs="Times New Roman"/>
          <w:vertAlign w:val="superscript"/>
        </w:rPr>
        <w:t>st</w:t>
      </w:r>
      <w:r w:rsidR="00B7423E">
        <w:rPr>
          <w:rFonts w:ascii="Times New Roman" w:hAnsi="Times New Roman" w:cs="Times New Roman"/>
        </w:rPr>
        <w:t xml:space="preserve"> July</w:t>
      </w:r>
      <w:r>
        <w:rPr>
          <w:rFonts w:ascii="Times New Roman" w:hAnsi="Times New Roman" w:cs="Times New Roman"/>
        </w:rPr>
        <w:t xml:space="preserve"> </w:t>
      </w:r>
      <w:r w:rsidR="00B7423E">
        <w:rPr>
          <w:rFonts w:ascii="Times New Roman" w:hAnsi="Times New Roman" w:cs="Times New Roman"/>
        </w:rPr>
        <w:t xml:space="preserve">2016 </w:t>
      </w:r>
      <w:r>
        <w:rPr>
          <w:rFonts w:ascii="Times New Roman" w:hAnsi="Times New Roman" w:cs="Times New Roman"/>
        </w:rPr>
        <w:t xml:space="preserve">and thereby avoids any penalties imposed by the European Commission for non-compliance.  </w:t>
      </w:r>
    </w:p>
    <w:p w14:paraId="040920B3" w14:textId="77777777" w:rsidR="00691181" w:rsidRPr="00691181" w:rsidRDefault="008A2044" w:rsidP="00565916">
      <w:pPr>
        <w:pStyle w:val="Heading1"/>
        <w:numPr>
          <w:ilvl w:val="0"/>
          <w:numId w:val="7"/>
        </w:numPr>
        <w:spacing w:line="360" w:lineRule="auto"/>
        <w:ind w:hanging="720"/>
        <w:jc w:val="both"/>
      </w:pPr>
      <w:bookmarkStart w:id="3" w:name="_Toc306957870"/>
      <w:r>
        <w:t>Options</w:t>
      </w:r>
      <w:bookmarkEnd w:id="3"/>
    </w:p>
    <w:p w14:paraId="6D38139E" w14:textId="7F2775A4" w:rsidR="00F26C8F" w:rsidRDefault="00F26C8F" w:rsidP="00565916">
      <w:pPr>
        <w:spacing w:line="360" w:lineRule="auto"/>
        <w:jc w:val="both"/>
        <w:rPr>
          <w:rFonts w:ascii="Times New Roman" w:hAnsi="Times New Roman"/>
        </w:rPr>
      </w:pPr>
      <w:r>
        <w:rPr>
          <w:rFonts w:ascii="Times New Roman" w:hAnsi="Times New Roman"/>
        </w:rPr>
        <w:t>The options for addressing the transposition of Directive 201</w:t>
      </w:r>
      <w:r w:rsidR="00B7423E">
        <w:rPr>
          <w:rFonts w:ascii="Times New Roman" w:hAnsi="Times New Roman"/>
        </w:rPr>
        <w:t>3</w:t>
      </w:r>
      <w:r>
        <w:rPr>
          <w:rFonts w:ascii="Times New Roman" w:hAnsi="Times New Roman"/>
        </w:rPr>
        <w:t>/3</w:t>
      </w:r>
      <w:r w:rsidR="00B7423E">
        <w:rPr>
          <w:rFonts w:ascii="Times New Roman" w:hAnsi="Times New Roman"/>
        </w:rPr>
        <w:t>5</w:t>
      </w:r>
      <w:r>
        <w:rPr>
          <w:rFonts w:ascii="Times New Roman" w:hAnsi="Times New Roman"/>
        </w:rPr>
        <w:t xml:space="preserve">/EU are as follows: </w:t>
      </w:r>
    </w:p>
    <w:p w14:paraId="1B559521" w14:textId="77777777" w:rsidR="00056A4E" w:rsidRDefault="00056A4E" w:rsidP="00565916">
      <w:pPr>
        <w:spacing w:line="360" w:lineRule="auto"/>
        <w:jc w:val="both"/>
        <w:rPr>
          <w:rFonts w:ascii="Times New Roman" w:hAnsi="Times New Roman"/>
          <w:b/>
        </w:rPr>
      </w:pPr>
      <w:r>
        <w:rPr>
          <w:rFonts w:ascii="Times New Roman" w:hAnsi="Times New Roman"/>
          <w:b/>
        </w:rPr>
        <w:t xml:space="preserve">Option 1  </w:t>
      </w:r>
      <w:r>
        <w:rPr>
          <w:rFonts w:ascii="Times New Roman" w:hAnsi="Times New Roman"/>
          <w:b/>
        </w:rPr>
        <w:tab/>
        <w:t xml:space="preserve">Do nothing </w:t>
      </w:r>
    </w:p>
    <w:p w14:paraId="3885C8F1" w14:textId="77777777" w:rsidR="0043582C" w:rsidRDefault="0043582C" w:rsidP="00565916">
      <w:pPr>
        <w:spacing w:line="360" w:lineRule="auto"/>
        <w:jc w:val="both"/>
        <w:rPr>
          <w:rFonts w:ascii="Times New Roman" w:hAnsi="Times New Roman"/>
        </w:rPr>
      </w:pPr>
      <w:r>
        <w:rPr>
          <w:rFonts w:ascii="Times New Roman" w:hAnsi="Times New Roman"/>
        </w:rPr>
        <w:lastRenderedPageBreak/>
        <w:t>Option 1, do nothing, would leave Ireland in breach of the requirement for member states to transpose the Directive by 1</w:t>
      </w:r>
      <w:r w:rsidRPr="00B7423E">
        <w:rPr>
          <w:rFonts w:ascii="Times New Roman" w:hAnsi="Times New Roman"/>
          <w:vertAlign w:val="superscript"/>
        </w:rPr>
        <w:t>st</w:t>
      </w:r>
      <w:r>
        <w:rPr>
          <w:rFonts w:ascii="Times New Roman" w:hAnsi="Times New Roman"/>
        </w:rPr>
        <w:t xml:space="preserve"> July 2016.  The Commission could proceed to take legal action with potentially significant financial penalties arising for the state.  It could further create a situation where workers in Ireland exposed to electromagnetic fields while at work are afforded a lower level of protection than workers in other member states.  </w:t>
      </w:r>
    </w:p>
    <w:p w14:paraId="3D46C8B6" w14:textId="77777777" w:rsidR="00056A4E" w:rsidRDefault="00056A4E" w:rsidP="00565916">
      <w:pPr>
        <w:spacing w:line="360" w:lineRule="auto"/>
        <w:jc w:val="both"/>
        <w:rPr>
          <w:rFonts w:ascii="Times New Roman" w:hAnsi="Times New Roman"/>
          <w:b/>
        </w:rPr>
      </w:pPr>
      <w:r>
        <w:rPr>
          <w:rFonts w:ascii="Times New Roman" w:hAnsi="Times New Roman"/>
          <w:b/>
        </w:rPr>
        <w:t xml:space="preserve">Option </w:t>
      </w:r>
      <w:r w:rsidR="00D57E05">
        <w:rPr>
          <w:rFonts w:ascii="Times New Roman" w:hAnsi="Times New Roman"/>
          <w:b/>
        </w:rPr>
        <w:t>2</w:t>
      </w:r>
      <w:r>
        <w:rPr>
          <w:rFonts w:ascii="Times New Roman" w:hAnsi="Times New Roman"/>
          <w:b/>
        </w:rPr>
        <w:tab/>
        <w:t xml:space="preserve">Introduce new </w:t>
      </w:r>
      <w:r w:rsidR="00B136FD">
        <w:rPr>
          <w:rFonts w:ascii="Times New Roman" w:hAnsi="Times New Roman"/>
          <w:b/>
        </w:rPr>
        <w:t>Regulations</w:t>
      </w:r>
    </w:p>
    <w:p w14:paraId="5F8ED105" w14:textId="7F2E3CF0" w:rsidR="00056A4E" w:rsidRPr="00CF4558" w:rsidRDefault="00C529EE" w:rsidP="00565916">
      <w:pPr>
        <w:spacing w:line="360" w:lineRule="auto"/>
        <w:jc w:val="both"/>
        <w:rPr>
          <w:rFonts w:ascii="Times New Roman" w:hAnsi="Times New Roman"/>
        </w:rPr>
      </w:pPr>
      <w:r>
        <w:rPr>
          <w:rFonts w:ascii="Times New Roman" w:hAnsi="Times New Roman"/>
        </w:rPr>
        <w:t xml:space="preserve">Option </w:t>
      </w:r>
      <w:r w:rsidR="00E851F3">
        <w:rPr>
          <w:rFonts w:ascii="Times New Roman" w:hAnsi="Times New Roman"/>
        </w:rPr>
        <w:t>2;</w:t>
      </w:r>
      <w:r>
        <w:rPr>
          <w:rFonts w:ascii="Times New Roman" w:hAnsi="Times New Roman"/>
        </w:rPr>
        <w:t xml:space="preserve"> </w:t>
      </w:r>
      <w:r w:rsidR="00053C06">
        <w:rPr>
          <w:rFonts w:ascii="Times New Roman" w:hAnsi="Times New Roman"/>
        </w:rPr>
        <w:t>introduce new Regulations on the basis that Option1 is not viable</w:t>
      </w:r>
      <w:r w:rsidR="0043582C">
        <w:rPr>
          <w:rFonts w:ascii="Times New Roman" w:hAnsi="Times New Roman"/>
        </w:rPr>
        <w:t>. I</w:t>
      </w:r>
      <w:r w:rsidR="00056A4E">
        <w:rPr>
          <w:rFonts w:ascii="Times New Roman" w:hAnsi="Times New Roman"/>
        </w:rPr>
        <w:t>t is recommended to transpose Directive 201</w:t>
      </w:r>
      <w:r w:rsidR="00B7423E">
        <w:rPr>
          <w:rFonts w:ascii="Times New Roman" w:hAnsi="Times New Roman"/>
        </w:rPr>
        <w:t>3</w:t>
      </w:r>
      <w:r w:rsidR="00056A4E">
        <w:rPr>
          <w:rFonts w:ascii="Times New Roman" w:hAnsi="Times New Roman"/>
        </w:rPr>
        <w:t>/3</w:t>
      </w:r>
      <w:r w:rsidR="00B7423E">
        <w:rPr>
          <w:rFonts w:ascii="Times New Roman" w:hAnsi="Times New Roman"/>
        </w:rPr>
        <w:t>5</w:t>
      </w:r>
      <w:r w:rsidR="00056A4E">
        <w:rPr>
          <w:rFonts w:ascii="Times New Roman" w:hAnsi="Times New Roman"/>
        </w:rPr>
        <w:t>/EU</w:t>
      </w:r>
      <w:r w:rsidR="00F26C8F">
        <w:rPr>
          <w:rFonts w:ascii="Times New Roman" w:hAnsi="Times New Roman"/>
        </w:rPr>
        <w:t xml:space="preserve"> into Irish law by way of the proposed Regulations</w:t>
      </w:r>
      <w:r w:rsidR="00056A4E">
        <w:rPr>
          <w:rFonts w:ascii="Times New Roman" w:hAnsi="Times New Roman"/>
        </w:rPr>
        <w:t xml:space="preserve">.  The impact of this option is assessed in </w:t>
      </w:r>
      <w:r w:rsidR="00057C04">
        <w:rPr>
          <w:rFonts w:ascii="Times New Roman" w:hAnsi="Times New Roman"/>
        </w:rPr>
        <w:t xml:space="preserve">more </w:t>
      </w:r>
      <w:r w:rsidR="00056A4E">
        <w:rPr>
          <w:rFonts w:ascii="Times New Roman" w:hAnsi="Times New Roman"/>
        </w:rPr>
        <w:t xml:space="preserve">detail in the following section. </w:t>
      </w:r>
    </w:p>
    <w:p w14:paraId="04F5A408" w14:textId="77777777" w:rsidR="00691181" w:rsidRPr="00691181" w:rsidRDefault="00F26C8F" w:rsidP="00565916">
      <w:pPr>
        <w:pStyle w:val="Heading1"/>
        <w:numPr>
          <w:ilvl w:val="0"/>
          <w:numId w:val="7"/>
        </w:numPr>
        <w:spacing w:line="360" w:lineRule="auto"/>
        <w:ind w:hanging="720"/>
        <w:jc w:val="both"/>
      </w:pPr>
      <w:bookmarkStart w:id="4" w:name="_Toc306957871"/>
      <w:r>
        <w:t>Impact analysis</w:t>
      </w:r>
      <w:bookmarkEnd w:id="4"/>
      <w:r>
        <w:t xml:space="preserve"> </w:t>
      </w:r>
    </w:p>
    <w:p w14:paraId="3C5D20DD" w14:textId="2BE4BCF3" w:rsidR="006A2552" w:rsidRDefault="00BF596A" w:rsidP="00565916">
      <w:pPr>
        <w:spacing w:line="360" w:lineRule="auto"/>
        <w:jc w:val="both"/>
        <w:rPr>
          <w:rFonts w:ascii="Times New Roman" w:hAnsi="Times New Roman"/>
        </w:rPr>
      </w:pPr>
      <w:r w:rsidRPr="00BF596A">
        <w:rPr>
          <w:rFonts w:ascii="Times New Roman" w:hAnsi="Times New Roman"/>
        </w:rPr>
        <w:t>The impacts of t</w:t>
      </w:r>
      <w:r>
        <w:rPr>
          <w:rFonts w:ascii="Times New Roman" w:hAnsi="Times New Roman"/>
        </w:rPr>
        <w:t xml:space="preserve">he proposed Regulations are expected to be minimal </w:t>
      </w:r>
      <w:r w:rsidR="00C529EE">
        <w:rPr>
          <w:rFonts w:ascii="Times New Roman" w:hAnsi="Times New Roman"/>
        </w:rPr>
        <w:t xml:space="preserve">for the majority of employers </w:t>
      </w:r>
      <w:r>
        <w:rPr>
          <w:rFonts w:ascii="Times New Roman" w:hAnsi="Times New Roman"/>
        </w:rPr>
        <w:t xml:space="preserve">on the basis </w:t>
      </w:r>
      <w:r w:rsidRPr="00024ADC">
        <w:rPr>
          <w:rFonts w:ascii="Times New Roman" w:hAnsi="Times New Roman"/>
        </w:rPr>
        <w:t xml:space="preserve">that </w:t>
      </w:r>
      <w:r w:rsidR="00E851F3">
        <w:rPr>
          <w:rFonts w:ascii="Times New Roman" w:hAnsi="Times New Roman"/>
        </w:rPr>
        <w:t xml:space="preserve">existing </w:t>
      </w:r>
      <w:r w:rsidR="00E851F3" w:rsidRPr="00024ADC">
        <w:rPr>
          <w:rFonts w:ascii="Times New Roman" w:hAnsi="Times New Roman"/>
        </w:rPr>
        <w:t>provisions</w:t>
      </w:r>
      <w:r>
        <w:rPr>
          <w:rFonts w:ascii="Times New Roman" w:hAnsi="Times New Roman"/>
        </w:rPr>
        <w:t xml:space="preserve"> already enforced in Irish legislation</w:t>
      </w:r>
      <w:r w:rsidR="004D5D49">
        <w:rPr>
          <w:rFonts w:ascii="Times New Roman" w:hAnsi="Times New Roman"/>
        </w:rPr>
        <w:t xml:space="preserve"> </w:t>
      </w:r>
      <w:r w:rsidR="00614580">
        <w:rPr>
          <w:rFonts w:ascii="Times New Roman" w:hAnsi="Times New Roman"/>
        </w:rPr>
        <w:t xml:space="preserve">protect </w:t>
      </w:r>
      <w:r w:rsidR="002E767C">
        <w:rPr>
          <w:rFonts w:ascii="Times New Roman" w:hAnsi="Times New Roman"/>
        </w:rPr>
        <w:t xml:space="preserve">the majority of </w:t>
      </w:r>
      <w:r w:rsidR="00614580">
        <w:rPr>
          <w:rFonts w:ascii="Times New Roman" w:hAnsi="Times New Roman"/>
        </w:rPr>
        <w:t>employees to a l</w:t>
      </w:r>
      <w:r w:rsidR="00E94E77">
        <w:rPr>
          <w:rFonts w:ascii="Times New Roman" w:hAnsi="Times New Roman"/>
        </w:rPr>
        <w:t>a</w:t>
      </w:r>
      <w:r w:rsidR="00614580">
        <w:rPr>
          <w:rFonts w:ascii="Times New Roman" w:hAnsi="Times New Roman"/>
        </w:rPr>
        <w:t>rge degree</w:t>
      </w:r>
      <w:r w:rsidR="002E767C">
        <w:rPr>
          <w:rFonts w:ascii="Times New Roman" w:hAnsi="Times New Roman"/>
        </w:rPr>
        <w:t xml:space="preserve">. </w:t>
      </w:r>
      <w:r w:rsidR="00614580">
        <w:rPr>
          <w:rFonts w:ascii="Times New Roman" w:hAnsi="Times New Roman"/>
        </w:rPr>
        <w:t xml:space="preserve"> </w:t>
      </w:r>
      <w:r w:rsidR="00053C06">
        <w:rPr>
          <w:rFonts w:ascii="Times New Roman" w:hAnsi="Times New Roman"/>
        </w:rPr>
        <w:t>All employers will be required to carry out an EMF risk assessment and the guidance prepared by the EU Commission should make this a fairly simple exercise. Nothing more will be required for these employers. However i</w:t>
      </w:r>
      <w:r w:rsidR="000C709B">
        <w:rPr>
          <w:rFonts w:ascii="Times New Roman" w:hAnsi="Times New Roman"/>
        </w:rPr>
        <w:t xml:space="preserve">n </w:t>
      </w:r>
      <w:r w:rsidR="00987D0C">
        <w:rPr>
          <w:rFonts w:ascii="Times New Roman" w:hAnsi="Times New Roman"/>
        </w:rPr>
        <w:t>certain sectors</w:t>
      </w:r>
      <w:r w:rsidR="0043582C">
        <w:rPr>
          <w:rFonts w:ascii="Times New Roman" w:hAnsi="Times New Roman"/>
        </w:rPr>
        <w:t>,</w:t>
      </w:r>
      <w:r w:rsidR="00987D0C">
        <w:rPr>
          <w:rFonts w:ascii="Times New Roman" w:hAnsi="Times New Roman"/>
        </w:rPr>
        <w:t xml:space="preserve"> </w:t>
      </w:r>
      <w:r w:rsidR="000C709B">
        <w:rPr>
          <w:rFonts w:ascii="Times New Roman" w:hAnsi="Times New Roman"/>
        </w:rPr>
        <w:t>where there is a potential for higher exposures,</w:t>
      </w:r>
      <w:r w:rsidR="00053C06">
        <w:rPr>
          <w:rFonts w:ascii="Times New Roman" w:hAnsi="Times New Roman"/>
        </w:rPr>
        <w:t xml:space="preserve"> calculations </w:t>
      </w:r>
      <w:r w:rsidR="009F637A">
        <w:rPr>
          <w:rFonts w:ascii="Times New Roman" w:hAnsi="Times New Roman"/>
        </w:rPr>
        <w:t>or</w:t>
      </w:r>
      <w:r w:rsidR="00053C06">
        <w:rPr>
          <w:rFonts w:ascii="Times New Roman" w:hAnsi="Times New Roman"/>
        </w:rPr>
        <w:t xml:space="preserve"> measurements will be required as part of the risk assessment.</w:t>
      </w:r>
      <w:r w:rsidR="004D5D49">
        <w:rPr>
          <w:rFonts w:ascii="Times New Roman" w:hAnsi="Times New Roman"/>
        </w:rPr>
        <w:t xml:space="preserve"> </w:t>
      </w:r>
      <w:r w:rsidR="00053C06">
        <w:rPr>
          <w:rFonts w:ascii="Times New Roman" w:hAnsi="Times New Roman"/>
        </w:rPr>
        <w:t>T</w:t>
      </w:r>
      <w:r w:rsidR="004D5D49">
        <w:rPr>
          <w:rFonts w:ascii="Times New Roman" w:hAnsi="Times New Roman"/>
        </w:rPr>
        <w:t xml:space="preserve">he cost of compliance </w:t>
      </w:r>
      <w:r w:rsidR="00614580">
        <w:rPr>
          <w:rFonts w:ascii="Times New Roman" w:hAnsi="Times New Roman"/>
        </w:rPr>
        <w:t>for employers</w:t>
      </w:r>
      <w:r w:rsidR="00053C06">
        <w:rPr>
          <w:rFonts w:ascii="Times New Roman" w:hAnsi="Times New Roman"/>
        </w:rPr>
        <w:t xml:space="preserve"> in these sectors</w:t>
      </w:r>
      <w:r w:rsidR="00614580">
        <w:rPr>
          <w:rFonts w:ascii="Times New Roman" w:hAnsi="Times New Roman"/>
        </w:rPr>
        <w:t xml:space="preserve"> </w:t>
      </w:r>
      <w:r w:rsidR="00987D0C">
        <w:rPr>
          <w:rFonts w:ascii="Times New Roman" w:hAnsi="Times New Roman"/>
        </w:rPr>
        <w:t xml:space="preserve">is justified </w:t>
      </w:r>
      <w:r w:rsidR="004D5D49">
        <w:rPr>
          <w:rFonts w:ascii="Times New Roman" w:hAnsi="Times New Roman"/>
        </w:rPr>
        <w:t>by a reduction in the</w:t>
      </w:r>
      <w:r w:rsidR="00614580" w:rsidRPr="00614580">
        <w:rPr>
          <w:rFonts w:ascii="Times New Roman" w:hAnsi="Times New Roman" w:cs="Times New Roman"/>
        </w:rPr>
        <w:t xml:space="preserve"> </w:t>
      </w:r>
      <w:r w:rsidR="00614580">
        <w:rPr>
          <w:rFonts w:ascii="Times New Roman" w:hAnsi="Times New Roman" w:cs="Times New Roman"/>
        </w:rPr>
        <w:t xml:space="preserve">harmful </w:t>
      </w:r>
      <w:r w:rsidR="00E851F3">
        <w:rPr>
          <w:rFonts w:ascii="Times New Roman" w:hAnsi="Times New Roman" w:cs="Times New Roman"/>
        </w:rPr>
        <w:t>direct and</w:t>
      </w:r>
      <w:r w:rsidR="00614580">
        <w:rPr>
          <w:rFonts w:ascii="Times New Roman" w:hAnsi="Times New Roman" w:cs="Times New Roman"/>
        </w:rPr>
        <w:t xml:space="preserve"> indirect effects in employees caused by electromagnetic fields. </w:t>
      </w:r>
      <w:r w:rsidR="00FC533B">
        <w:rPr>
          <w:rFonts w:ascii="Times New Roman" w:hAnsi="Times New Roman"/>
        </w:rPr>
        <w:t xml:space="preserve">New </w:t>
      </w:r>
      <w:r w:rsidR="00007A9B">
        <w:rPr>
          <w:rFonts w:ascii="Times New Roman" w:hAnsi="Times New Roman"/>
        </w:rPr>
        <w:t xml:space="preserve">or further clarified </w:t>
      </w:r>
      <w:r w:rsidR="00FC533B">
        <w:rPr>
          <w:rFonts w:ascii="Times New Roman" w:hAnsi="Times New Roman"/>
        </w:rPr>
        <w:t>requirements under the Directive are listed below:</w:t>
      </w:r>
      <w:r w:rsidR="00AE16C6">
        <w:rPr>
          <w:rFonts w:ascii="Times New Roman" w:hAnsi="Times New Roman"/>
        </w:rPr>
        <w:t xml:space="preserve"> </w:t>
      </w:r>
    </w:p>
    <w:p w14:paraId="1A2F73EC" w14:textId="5BC2858A" w:rsidR="0062466C" w:rsidRPr="006A2552" w:rsidRDefault="00C529EE" w:rsidP="00565916">
      <w:pPr>
        <w:spacing w:line="360" w:lineRule="auto"/>
        <w:ind w:left="720"/>
        <w:jc w:val="both"/>
        <w:rPr>
          <w:rFonts w:ascii="Times New Roman" w:hAnsi="Times New Roman"/>
          <w:b/>
        </w:rPr>
      </w:pPr>
      <w:r w:rsidRPr="006A2552">
        <w:rPr>
          <w:rFonts w:ascii="Times New Roman" w:hAnsi="Times New Roman"/>
          <w:b/>
        </w:rPr>
        <w:t>Article 3</w:t>
      </w:r>
      <w:r w:rsidR="0062466C" w:rsidRPr="006A2552">
        <w:rPr>
          <w:rFonts w:ascii="Times New Roman" w:hAnsi="Times New Roman"/>
          <w:b/>
        </w:rPr>
        <w:t xml:space="preserve"> </w:t>
      </w:r>
      <w:r w:rsidR="00614580" w:rsidRPr="006A2552">
        <w:rPr>
          <w:rFonts w:ascii="Times New Roman" w:hAnsi="Times New Roman"/>
          <w:b/>
        </w:rPr>
        <w:t>Exposure limit values and action levels</w:t>
      </w:r>
    </w:p>
    <w:p w14:paraId="30CD1B9C" w14:textId="349F1556" w:rsidR="006A2552" w:rsidRDefault="006A2552" w:rsidP="00565916">
      <w:pPr>
        <w:spacing w:line="360" w:lineRule="auto"/>
        <w:ind w:left="720"/>
        <w:jc w:val="both"/>
        <w:rPr>
          <w:rFonts w:ascii="Times New Roman" w:hAnsi="Times New Roman"/>
        </w:rPr>
      </w:pPr>
      <w:r>
        <w:rPr>
          <w:rFonts w:ascii="Times New Roman" w:hAnsi="Times New Roman"/>
        </w:rPr>
        <w:t>Article 3 limits maximum exposures by setting exposure limit values (ELVs) for sensory and health effects. These are defined in Annexes II and III of the EMF Directive. In most cases ELVs are specified in terms of internal body quantities that cannot be directly measured or simply calculated. For this reason Article 3 introduces action levels (ALs) which are set in terms of external field quantities that can be more easily found by measurement or calculation. The ALs are defined in Annexes II and III of the EMF Directive. In general</w:t>
      </w:r>
      <w:r w:rsidR="006A3DC5">
        <w:rPr>
          <w:rFonts w:ascii="Times New Roman" w:hAnsi="Times New Roman"/>
        </w:rPr>
        <w:t>,</w:t>
      </w:r>
      <w:r>
        <w:rPr>
          <w:rFonts w:ascii="Times New Roman" w:hAnsi="Times New Roman"/>
        </w:rPr>
        <w:t xml:space="preserve"> provided the ALs </w:t>
      </w:r>
      <w:proofErr w:type="gramStart"/>
      <w:r>
        <w:rPr>
          <w:rFonts w:ascii="Times New Roman" w:hAnsi="Times New Roman"/>
        </w:rPr>
        <w:t>are</w:t>
      </w:r>
      <w:proofErr w:type="gramEnd"/>
      <w:r>
        <w:rPr>
          <w:rFonts w:ascii="Times New Roman" w:hAnsi="Times New Roman"/>
        </w:rPr>
        <w:t xml:space="preserve"> not exceeded, then it can be assumed that exposure will comply with the ELVs and further assessm</w:t>
      </w:r>
      <w:r w:rsidR="00057C04">
        <w:rPr>
          <w:rFonts w:ascii="Times New Roman" w:hAnsi="Times New Roman"/>
        </w:rPr>
        <w:t>e</w:t>
      </w:r>
      <w:r>
        <w:rPr>
          <w:rFonts w:ascii="Times New Roman" w:hAnsi="Times New Roman"/>
        </w:rPr>
        <w:t>nt is not needed.</w:t>
      </w:r>
    </w:p>
    <w:p w14:paraId="3A6493FF" w14:textId="574DF7B5" w:rsidR="00E5663B" w:rsidRPr="00E40126" w:rsidRDefault="00E5663B" w:rsidP="00565916">
      <w:pPr>
        <w:spacing w:line="360" w:lineRule="auto"/>
        <w:ind w:left="720"/>
        <w:jc w:val="both"/>
        <w:rPr>
          <w:rFonts w:ascii="Times New Roman" w:hAnsi="Times New Roman"/>
        </w:rPr>
      </w:pPr>
      <w:r>
        <w:rPr>
          <w:rFonts w:ascii="Times New Roman" w:hAnsi="Times New Roman"/>
        </w:rPr>
        <w:t>Article 3 allows some ALs to be exceeded in some circumstances.</w:t>
      </w:r>
    </w:p>
    <w:p w14:paraId="297EEC5E" w14:textId="0326BB1E" w:rsidR="0062466C" w:rsidRPr="00B44FA4" w:rsidRDefault="00C529EE" w:rsidP="00565916">
      <w:pPr>
        <w:spacing w:line="360" w:lineRule="auto"/>
        <w:ind w:left="720"/>
        <w:jc w:val="both"/>
        <w:rPr>
          <w:rFonts w:ascii="Times New Roman" w:hAnsi="Times New Roman"/>
          <w:b/>
        </w:rPr>
      </w:pPr>
      <w:r w:rsidRPr="00B44FA4">
        <w:rPr>
          <w:rFonts w:ascii="Times New Roman" w:hAnsi="Times New Roman"/>
          <w:b/>
        </w:rPr>
        <w:t>Article 4</w:t>
      </w:r>
      <w:r w:rsidR="0062466C" w:rsidRPr="00B44FA4">
        <w:rPr>
          <w:rFonts w:ascii="Times New Roman" w:hAnsi="Times New Roman"/>
          <w:b/>
        </w:rPr>
        <w:t xml:space="preserve"> </w:t>
      </w:r>
      <w:r w:rsidR="00614580" w:rsidRPr="00B44FA4">
        <w:rPr>
          <w:rFonts w:ascii="Times New Roman" w:hAnsi="Times New Roman"/>
          <w:b/>
        </w:rPr>
        <w:t>Assessment of risk and determination of exposure</w:t>
      </w:r>
    </w:p>
    <w:p w14:paraId="5089F55E" w14:textId="7ADB27F9" w:rsidR="006A2552" w:rsidRDefault="006A2552" w:rsidP="00565916">
      <w:pPr>
        <w:spacing w:line="360" w:lineRule="auto"/>
        <w:ind w:left="720"/>
        <w:jc w:val="both"/>
        <w:rPr>
          <w:rFonts w:ascii="Times New Roman" w:hAnsi="Times New Roman"/>
        </w:rPr>
      </w:pPr>
      <w:r>
        <w:rPr>
          <w:rFonts w:ascii="Times New Roman" w:hAnsi="Times New Roman"/>
        </w:rPr>
        <w:lastRenderedPageBreak/>
        <w:t>When assessing risks from EMF in the workplace, it is necessary to understand the nature of the fields that are present</w:t>
      </w:r>
      <w:r w:rsidR="00243738">
        <w:rPr>
          <w:rFonts w:ascii="Times New Roman" w:hAnsi="Times New Roman"/>
        </w:rPr>
        <w:t>. Electromagnetic fields are defined in the EMF Directive as static electric, static magnetic and time varying electric, magnetic and electromagnetic fields with frequency ranges from 0Hz to 300 GHz.</w:t>
      </w:r>
      <w:r>
        <w:rPr>
          <w:rFonts w:ascii="Times New Roman" w:hAnsi="Times New Roman"/>
        </w:rPr>
        <w:t xml:space="preserve"> </w:t>
      </w:r>
      <w:r w:rsidR="00243738">
        <w:rPr>
          <w:rFonts w:ascii="Times New Roman" w:hAnsi="Times New Roman"/>
        </w:rPr>
        <w:t xml:space="preserve">However, it allows employers to take account of information provided </w:t>
      </w:r>
      <w:r w:rsidR="00B44FA4">
        <w:rPr>
          <w:rFonts w:ascii="Times New Roman" w:hAnsi="Times New Roman"/>
        </w:rPr>
        <w:t xml:space="preserve">by manufacturers or published in databases and only requires them to assess fields themselves by measurement or calculation where it is not possible to demonstrate compliance by any other </w:t>
      </w:r>
      <w:r w:rsidR="00E851F3">
        <w:rPr>
          <w:rFonts w:ascii="Times New Roman" w:hAnsi="Times New Roman"/>
        </w:rPr>
        <w:t>means. The</w:t>
      </w:r>
      <w:r w:rsidR="00CB7F32">
        <w:rPr>
          <w:rFonts w:ascii="Times New Roman" w:hAnsi="Times New Roman"/>
        </w:rPr>
        <w:t xml:space="preserve"> guidance published by the EU Commission will assist employers in carrying out the risk assessment.</w:t>
      </w:r>
    </w:p>
    <w:p w14:paraId="3A5AC8A6" w14:textId="1C514C0B" w:rsidR="00CB7F32" w:rsidRPr="00E40126" w:rsidRDefault="00CB7F32" w:rsidP="00565916">
      <w:pPr>
        <w:spacing w:line="360" w:lineRule="auto"/>
        <w:ind w:left="720"/>
        <w:jc w:val="both"/>
        <w:rPr>
          <w:rFonts w:ascii="Times New Roman" w:hAnsi="Times New Roman"/>
        </w:rPr>
      </w:pPr>
      <w:r>
        <w:rPr>
          <w:rFonts w:ascii="Times New Roman" w:hAnsi="Times New Roman"/>
        </w:rPr>
        <w:t xml:space="preserve">There is provision in Article 4 </w:t>
      </w:r>
      <w:r w:rsidR="009F637A">
        <w:rPr>
          <w:rFonts w:ascii="Times New Roman" w:hAnsi="Times New Roman"/>
        </w:rPr>
        <w:t xml:space="preserve">that </w:t>
      </w:r>
      <w:r>
        <w:rPr>
          <w:rFonts w:ascii="Times New Roman" w:hAnsi="Times New Roman"/>
        </w:rPr>
        <w:t xml:space="preserve">the risk assessment </w:t>
      </w:r>
      <w:r w:rsidR="009F637A">
        <w:rPr>
          <w:rFonts w:ascii="Times New Roman" w:hAnsi="Times New Roman"/>
        </w:rPr>
        <w:t xml:space="preserve">can </w:t>
      </w:r>
      <w:r>
        <w:rPr>
          <w:rFonts w:ascii="Times New Roman" w:hAnsi="Times New Roman"/>
        </w:rPr>
        <w:t xml:space="preserve">be made public but this will be governed by data protection legislation for personal data and the need for the protection of </w:t>
      </w:r>
      <w:r w:rsidR="00E851F3">
        <w:rPr>
          <w:rFonts w:ascii="Times New Roman" w:hAnsi="Times New Roman"/>
        </w:rPr>
        <w:t>employers’</w:t>
      </w:r>
      <w:r>
        <w:rPr>
          <w:rFonts w:ascii="Times New Roman" w:hAnsi="Times New Roman"/>
        </w:rPr>
        <w:t xml:space="preserve"> commercial interests. </w:t>
      </w:r>
    </w:p>
    <w:p w14:paraId="72B391B5" w14:textId="07D5A156" w:rsidR="00B44FA4" w:rsidRPr="007F0ADD" w:rsidRDefault="00C529EE" w:rsidP="00565916">
      <w:pPr>
        <w:spacing w:line="360" w:lineRule="auto"/>
        <w:ind w:left="720"/>
        <w:jc w:val="both"/>
        <w:rPr>
          <w:rFonts w:ascii="Times New Roman" w:hAnsi="Times New Roman"/>
          <w:b/>
        </w:rPr>
      </w:pPr>
      <w:r w:rsidRPr="007F0ADD">
        <w:rPr>
          <w:rFonts w:ascii="Times New Roman" w:hAnsi="Times New Roman"/>
          <w:b/>
        </w:rPr>
        <w:t xml:space="preserve">Article 5 </w:t>
      </w:r>
      <w:r w:rsidR="00E851F3" w:rsidRPr="007F0ADD">
        <w:rPr>
          <w:rFonts w:ascii="Times New Roman" w:hAnsi="Times New Roman"/>
          <w:b/>
        </w:rPr>
        <w:t>Provisions aimed</w:t>
      </w:r>
      <w:r w:rsidR="00AE16C6" w:rsidRPr="007F0ADD">
        <w:rPr>
          <w:rFonts w:ascii="Times New Roman" w:hAnsi="Times New Roman"/>
          <w:b/>
        </w:rPr>
        <w:t xml:space="preserve"> at avoiding or reducing risks</w:t>
      </w:r>
    </w:p>
    <w:p w14:paraId="3CC7ABFE" w14:textId="56024A73" w:rsidR="00B44FA4" w:rsidRDefault="007F0ADD" w:rsidP="00565916">
      <w:pPr>
        <w:spacing w:line="360" w:lineRule="auto"/>
        <w:ind w:left="720"/>
        <w:jc w:val="both"/>
        <w:rPr>
          <w:rFonts w:ascii="Times New Roman" w:hAnsi="Times New Roman"/>
        </w:rPr>
      </w:pPr>
      <w:r>
        <w:rPr>
          <w:rFonts w:ascii="Times New Roman" w:hAnsi="Times New Roman"/>
        </w:rPr>
        <w:t xml:space="preserve">Provided the ALs are not exceeded and any other risks from EMF are low, employers do not need to take further action other than </w:t>
      </w:r>
      <w:r w:rsidR="006A3DC5">
        <w:rPr>
          <w:rFonts w:ascii="Times New Roman" w:hAnsi="Times New Roman"/>
        </w:rPr>
        <w:t xml:space="preserve">to </w:t>
      </w:r>
      <w:r>
        <w:rPr>
          <w:rFonts w:ascii="Times New Roman" w:hAnsi="Times New Roman"/>
        </w:rPr>
        <w:t>review the risk assessment periodically to keep it up to date and relevant.</w:t>
      </w:r>
    </w:p>
    <w:p w14:paraId="0E999AF7" w14:textId="5BC08D02" w:rsidR="007F0ADD" w:rsidRDefault="007F0ADD" w:rsidP="00565916">
      <w:pPr>
        <w:spacing w:line="360" w:lineRule="auto"/>
        <w:ind w:left="720"/>
        <w:jc w:val="both"/>
        <w:rPr>
          <w:rFonts w:ascii="Times New Roman" w:hAnsi="Times New Roman"/>
        </w:rPr>
      </w:pPr>
      <w:r>
        <w:rPr>
          <w:rFonts w:ascii="Times New Roman" w:hAnsi="Times New Roman"/>
        </w:rPr>
        <w:t xml:space="preserve">Where ALs are exceeded, the employer may try to demonstrate compliance with the ELVs and the absence of other safety risks from EMF if this is </w:t>
      </w:r>
      <w:r w:rsidR="00E851F3">
        <w:rPr>
          <w:rFonts w:ascii="Times New Roman" w:hAnsi="Times New Roman"/>
        </w:rPr>
        <w:t>possible. However</w:t>
      </w:r>
      <w:r w:rsidR="006A3DC5">
        <w:rPr>
          <w:rFonts w:ascii="Times New Roman" w:hAnsi="Times New Roman"/>
        </w:rPr>
        <w:t>,</w:t>
      </w:r>
      <w:r>
        <w:rPr>
          <w:rFonts w:ascii="Times New Roman" w:hAnsi="Times New Roman"/>
        </w:rPr>
        <w:t xml:space="preserve"> in many cases it will be easier and cheaper to implement measures to prevent risks than to demonstrate compliance with the ELVs.</w:t>
      </w:r>
    </w:p>
    <w:p w14:paraId="74C7F840" w14:textId="77777777" w:rsidR="00E5663B" w:rsidRDefault="00E5663B" w:rsidP="00565916">
      <w:pPr>
        <w:spacing w:line="360" w:lineRule="auto"/>
        <w:ind w:left="720"/>
        <w:jc w:val="both"/>
        <w:rPr>
          <w:rFonts w:ascii="Times New Roman" w:hAnsi="Times New Roman"/>
        </w:rPr>
      </w:pPr>
      <w:r>
        <w:rPr>
          <w:rFonts w:ascii="Times New Roman" w:hAnsi="Times New Roman"/>
        </w:rPr>
        <w:t>Prevention measures follow the general Principles of Prevention as outlined in Schedule 3 of the 2005 Act and include elimination, substitution, technical and organisational measures and personal protective equipment.</w:t>
      </w:r>
    </w:p>
    <w:p w14:paraId="6524BDF5" w14:textId="3AFBDD9C" w:rsidR="00E5663B" w:rsidRDefault="00E5663B" w:rsidP="00565916">
      <w:pPr>
        <w:spacing w:line="360" w:lineRule="auto"/>
        <w:ind w:left="720"/>
        <w:jc w:val="both"/>
        <w:rPr>
          <w:rFonts w:ascii="Times New Roman" w:hAnsi="Times New Roman"/>
        </w:rPr>
      </w:pPr>
      <w:r>
        <w:rPr>
          <w:rFonts w:ascii="Times New Roman" w:hAnsi="Times New Roman"/>
        </w:rPr>
        <w:t xml:space="preserve">Article 5 also specifies the precautions to be taken where Article 3 allows ALs to be exceeded.  </w:t>
      </w:r>
    </w:p>
    <w:p w14:paraId="4E5371DC" w14:textId="6DE9C8C2" w:rsidR="005A0E65" w:rsidRPr="00D20E6B" w:rsidRDefault="00C529EE" w:rsidP="00565916">
      <w:pPr>
        <w:spacing w:line="360" w:lineRule="auto"/>
        <w:ind w:left="720"/>
        <w:jc w:val="both"/>
        <w:rPr>
          <w:rFonts w:ascii="Times New Roman" w:hAnsi="Times New Roman"/>
          <w:b/>
        </w:rPr>
      </w:pPr>
      <w:r w:rsidRPr="00D20E6B">
        <w:rPr>
          <w:rFonts w:ascii="Times New Roman" w:hAnsi="Times New Roman"/>
          <w:b/>
        </w:rPr>
        <w:t>Article 6</w:t>
      </w:r>
      <w:r w:rsidR="00E40126" w:rsidRPr="00D20E6B">
        <w:rPr>
          <w:rFonts w:ascii="Times New Roman" w:hAnsi="Times New Roman"/>
          <w:b/>
        </w:rPr>
        <w:t xml:space="preserve"> </w:t>
      </w:r>
      <w:r w:rsidR="00AE16C6" w:rsidRPr="00D20E6B">
        <w:rPr>
          <w:rFonts w:ascii="Times New Roman" w:hAnsi="Times New Roman"/>
          <w:b/>
        </w:rPr>
        <w:t>Worker information and training</w:t>
      </w:r>
      <w:r w:rsidR="005A0E65" w:rsidRPr="00D20E6B">
        <w:rPr>
          <w:rFonts w:ascii="Times New Roman" w:hAnsi="Times New Roman"/>
          <w:b/>
        </w:rPr>
        <w:t xml:space="preserve"> </w:t>
      </w:r>
    </w:p>
    <w:p w14:paraId="4F88C88D" w14:textId="0B46441E" w:rsidR="00D20E6B" w:rsidRDefault="00D20E6B" w:rsidP="00565916">
      <w:pPr>
        <w:spacing w:line="360" w:lineRule="auto"/>
        <w:ind w:left="720"/>
        <w:jc w:val="both"/>
        <w:rPr>
          <w:rFonts w:ascii="Times New Roman" w:hAnsi="Times New Roman"/>
        </w:rPr>
      </w:pPr>
      <w:r>
        <w:rPr>
          <w:rFonts w:ascii="Times New Roman" w:hAnsi="Times New Roman"/>
        </w:rPr>
        <w:t xml:space="preserve">Where risks have been identified as part of the risk assessment, appropriate information and training must be provided to employees. </w:t>
      </w:r>
      <w:r w:rsidR="00F510ED">
        <w:rPr>
          <w:rFonts w:ascii="Times New Roman" w:hAnsi="Times New Roman"/>
        </w:rPr>
        <w:t xml:space="preserve">This is </w:t>
      </w:r>
      <w:r w:rsidR="00B94F34">
        <w:rPr>
          <w:rFonts w:ascii="Times New Roman" w:hAnsi="Times New Roman"/>
        </w:rPr>
        <w:t xml:space="preserve">in accordance with </w:t>
      </w:r>
      <w:r w:rsidR="00F510ED">
        <w:rPr>
          <w:rFonts w:ascii="Times New Roman" w:hAnsi="Times New Roman"/>
        </w:rPr>
        <w:t xml:space="preserve">Sections 9 and 10 of the 2005 Act </w:t>
      </w:r>
      <w:r w:rsidR="00E851F3">
        <w:rPr>
          <w:rFonts w:ascii="Times New Roman" w:hAnsi="Times New Roman"/>
        </w:rPr>
        <w:t>and includes</w:t>
      </w:r>
      <w:r>
        <w:rPr>
          <w:rFonts w:ascii="Times New Roman" w:hAnsi="Times New Roman"/>
        </w:rPr>
        <w:t xml:space="preserve"> the results of the risk assessment, any possible sensory and health </w:t>
      </w:r>
      <w:r w:rsidR="00E851F3">
        <w:rPr>
          <w:rFonts w:ascii="Times New Roman" w:hAnsi="Times New Roman"/>
        </w:rPr>
        <w:t>symptoms</w:t>
      </w:r>
      <w:r>
        <w:rPr>
          <w:rFonts w:ascii="Times New Roman" w:hAnsi="Times New Roman"/>
        </w:rPr>
        <w:t xml:space="preserve">, possible indirect safety effects and concepts such as ELVs and ALs. </w:t>
      </w:r>
    </w:p>
    <w:p w14:paraId="23FD5CD6" w14:textId="4BFD636B" w:rsidR="00C529EE" w:rsidRPr="00B94F34" w:rsidRDefault="00C529EE" w:rsidP="00565916">
      <w:pPr>
        <w:spacing w:line="360" w:lineRule="auto"/>
        <w:ind w:left="720"/>
        <w:jc w:val="both"/>
        <w:rPr>
          <w:rFonts w:ascii="Times New Roman" w:hAnsi="Times New Roman"/>
          <w:b/>
        </w:rPr>
      </w:pPr>
      <w:r w:rsidRPr="00B94F34">
        <w:rPr>
          <w:rFonts w:ascii="Times New Roman" w:hAnsi="Times New Roman"/>
          <w:b/>
        </w:rPr>
        <w:t xml:space="preserve">Article 7 </w:t>
      </w:r>
      <w:r w:rsidR="007C5D40" w:rsidRPr="00B94F34">
        <w:rPr>
          <w:rFonts w:ascii="Times New Roman" w:hAnsi="Times New Roman"/>
          <w:b/>
        </w:rPr>
        <w:t>Consultation and participation of workers</w:t>
      </w:r>
    </w:p>
    <w:p w14:paraId="2EDE9FD8" w14:textId="4C1DFDE9" w:rsidR="00F510ED" w:rsidRDefault="00B94F34" w:rsidP="00565916">
      <w:pPr>
        <w:spacing w:line="360" w:lineRule="auto"/>
        <w:ind w:left="720"/>
        <w:jc w:val="both"/>
        <w:rPr>
          <w:rFonts w:ascii="Times New Roman" w:hAnsi="Times New Roman"/>
        </w:rPr>
      </w:pPr>
      <w:r>
        <w:rPr>
          <w:rFonts w:ascii="Times New Roman" w:hAnsi="Times New Roman"/>
        </w:rPr>
        <w:t>This is in accordance with Section 26 of the 2005 Act dealing specifically with EMF.</w:t>
      </w:r>
    </w:p>
    <w:p w14:paraId="7243EB32" w14:textId="3A2E1783" w:rsidR="00007A9B" w:rsidRPr="00EF7A26" w:rsidRDefault="007C5D40" w:rsidP="00565916">
      <w:pPr>
        <w:spacing w:line="360" w:lineRule="auto"/>
        <w:ind w:left="720"/>
        <w:jc w:val="both"/>
        <w:rPr>
          <w:rFonts w:ascii="Times New Roman" w:hAnsi="Times New Roman"/>
          <w:b/>
        </w:rPr>
      </w:pPr>
      <w:r w:rsidRPr="00EF7A26">
        <w:rPr>
          <w:rFonts w:ascii="Times New Roman" w:hAnsi="Times New Roman"/>
          <w:b/>
        </w:rPr>
        <w:lastRenderedPageBreak/>
        <w:t>Article 8</w:t>
      </w:r>
      <w:r w:rsidR="00B94F34" w:rsidRPr="00EF7A26">
        <w:rPr>
          <w:rFonts w:ascii="Times New Roman" w:hAnsi="Times New Roman"/>
          <w:b/>
        </w:rPr>
        <w:t xml:space="preserve"> </w:t>
      </w:r>
      <w:r w:rsidR="00AE16C6" w:rsidRPr="00EF7A26">
        <w:rPr>
          <w:rFonts w:ascii="Times New Roman" w:hAnsi="Times New Roman"/>
          <w:b/>
        </w:rPr>
        <w:t>Health surveillance</w:t>
      </w:r>
    </w:p>
    <w:p w14:paraId="05677A32" w14:textId="73C6FDCE" w:rsidR="00B94F34" w:rsidRDefault="00EF7A26" w:rsidP="00565916">
      <w:pPr>
        <w:spacing w:line="360" w:lineRule="auto"/>
        <w:ind w:left="720"/>
        <w:jc w:val="both"/>
        <w:rPr>
          <w:rFonts w:ascii="Times New Roman" w:hAnsi="Times New Roman"/>
        </w:rPr>
      </w:pPr>
      <w:r>
        <w:rPr>
          <w:rFonts w:ascii="Times New Roman" w:hAnsi="Times New Roman"/>
        </w:rPr>
        <w:t xml:space="preserve">Exposures above the ELVs may cause sensory effects of the nerves and muscles at low frequency and heating effects of tissues at high frequencies. Once the source of the EMF is removed, </w:t>
      </w:r>
      <w:r w:rsidR="00E851F3">
        <w:rPr>
          <w:rFonts w:ascii="Times New Roman" w:hAnsi="Times New Roman"/>
        </w:rPr>
        <w:t>symptoms</w:t>
      </w:r>
      <w:r>
        <w:rPr>
          <w:rFonts w:ascii="Times New Roman" w:hAnsi="Times New Roman"/>
        </w:rPr>
        <w:t xml:space="preserve"> will normally disappear and there are no residual effects. Electric shocks and burns to the body may result from indirect effects.  </w:t>
      </w:r>
    </w:p>
    <w:p w14:paraId="7D1A916E" w14:textId="5E121C99" w:rsidR="00EF7A26" w:rsidRDefault="00ED76D1" w:rsidP="00565916">
      <w:pPr>
        <w:spacing w:line="360" w:lineRule="auto"/>
        <w:ind w:left="720"/>
        <w:jc w:val="both"/>
        <w:rPr>
          <w:rFonts w:ascii="Times New Roman" w:hAnsi="Times New Roman"/>
        </w:rPr>
      </w:pPr>
      <w:r>
        <w:rPr>
          <w:rFonts w:ascii="Times New Roman" w:hAnsi="Times New Roman"/>
        </w:rPr>
        <w:t>Routine health surveillance or medical examinations are not required for the majority of workers.</w:t>
      </w:r>
    </w:p>
    <w:p w14:paraId="0751896F" w14:textId="04EE64E4" w:rsidR="00ED76D1" w:rsidRDefault="00ED76D1" w:rsidP="00565916">
      <w:pPr>
        <w:spacing w:line="360" w:lineRule="auto"/>
        <w:ind w:left="720"/>
        <w:jc w:val="both"/>
        <w:rPr>
          <w:rFonts w:ascii="Times New Roman" w:hAnsi="Times New Roman"/>
        </w:rPr>
      </w:pPr>
      <w:r>
        <w:rPr>
          <w:rFonts w:ascii="Times New Roman" w:hAnsi="Times New Roman"/>
        </w:rPr>
        <w:t>EMF is listed in Schedule 8 of the General Application Regulations 2007 as a physical agent that could cause foetal lesions or</w:t>
      </w:r>
      <w:r w:rsidR="0043582C">
        <w:rPr>
          <w:rFonts w:ascii="Times New Roman" w:hAnsi="Times New Roman"/>
        </w:rPr>
        <w:t xml:space="preserve"> be</w:t>
      </w:r>
      <w:r>
        <w:rPr>
          <w:rFonts w:ascii="Times New Roman" w:hAnsi="Times New Roman"/>
        </w:rPr>
        <w:t xml:space="preserve"> likely to disturb placental attachments or both</w:t>
      </w:r>
      <w:r w:rsidR="006A3DC5">
        <w:rPr>
          <w:rFonts w:ascii="Times New Roman" w:hAnsi="Times New Roman"/>
        </w:rPr>
        <w:t>,</w:t>
      </w:r>
      <w:r>
        <w:rPr>
          <w:rFonts w:ascii="Times New Roman" w:hAnsi="Times New Roman"/>
        </w:rPr>
        <w:t xml:space="preserve"> and therefore is a particular risk for pregna</w:t>
      </w:r>
      <w:r w:rsidR="00CB7F32">
        <w:rPr>
          <w:rFonts w:ascii="Times New Roman" w:hAnsi="Times New Roman"/>
        </w:rPr>
        <w:t>n</w:t>
      </w:r>
      <w:r>
        <w:rPr>
          <w:rFonts w:ascii="Times New Roman" w:hAnsi="Times New Roman"/>
        </w:rPr>
        <w:t>t employees. Also employees with active or passive implanted medical devises or with body</w:t>
      </w:r>
      <w:r w:rsidR="0043582C">
        <w:rPr>
          <w:rFonts w:ascii="Times New Roman" w:hAnsi="Times New Roman"/>
        </w:rPr>
        <w:t>-</w:t>
      </w:r>
      <w:r>
        <w:rPr>
          <w:rFonts w:ascii="Times New Roman" w:hAnsi="Times New Roman"/>
        </w:rPr>
        <w:t>worn devices may be at risk from EMF</w:t>
      </w:r>
      <w:r w:rsidR="00CB7F32">
        <w:rPr>
          <w:rFonts w:ascii="Times New Roman" w:hAnsi="Times New Roman"/>
        </w:rPr>
        <w:t>s</w:t>
      </w:r>
      <w:r>
        <w:rPr>
          <w:rFonts w:ascii="Times New Roman" w:hAnsi="Times New Roman"/>
        </w:rPr>
        <w:t xml:space="preserve">.  These categories of employees </w:t>
      </w:r>
      <w:r w:rsidR="00CB7F32">
        <w:rPr>
          <w:rFonts w:ascii="Times New Roman" w:hAnsi="Times New Roman"/>
        </w:rPr>
        <w:t xml:space="preserve">who are routinely exposed to EMF during their work </w:t>
      </w:r>
      <w:r>
        <w:rPr>
          <w:rFonts w:ascii="Times New Roman" w:hAnsi="Times New Roman"/>
        </w:rPr>
        <w:t xml:space="preserve">should have periodic </w:t>
      </w:r>
      <w:r w:rsidR="00E851F3">
        <w:rPr>
          <w:rFonts w:ascii="Times New Roman" w:hAnsi="Times New Roman"/>
        </w:rPr>
        <w:t>consultations</w:t>
      </w:r>
      <w:r>
        <w:rPr>
          <w:rFonts w:ascii="Times New Roman" w:hAnsi="Times New Roman"/>
        </w:rPr>
        <w:t xml:space="preserve"> with an occupational health provider as part of routine health surveillance</w:t>
      </w:r>
      <w:r w:rsidR="00E34630">
        <w:rPr>
          <w:rFonts w:ascii="Times New Roman" w:hAnsi="Times New Roman"/>
        </w:rPr>
        <w:t>.</w:t>
      </w:r>
    </w:p>
    <w:p w14:paraId="3DAEFC6E" w14:textId="77777777" w:rsidR="00E34630" w:rsidRDefault="00E34630" w:rsidP="00565916">
      <w:pPr>
        <w:spacing w:line="360" w:lineRule="auto"/>
        <w:ind w:left="720"/>
        <w:jc w:val="both"/>
        <w:rPr>
          <w:rFonts w:ascii="Times New Roman" w:hAnsi="Times New Roman"/>
        </w:rPr>
      </w:pPr>
      <w:r>
        <w:rPr>
          <w:rFonts w:ascii="Times New Roman" w:hAnsi="Times New Roman"/>
        </w:rPr>
        <w:t>Employees may need immediate access to health services as a result of accidental over exposure to EMF resulting in either direct or indirect effects. However there are no specific investigations that should be undertaken following over exposure to EMF.</w:t>
      </w:r>
    </w:p>
    <w:p w14:paraId="1548DF80" w14:textId="5981E290" w:rsidR="00B94F34" w:rsidRDefault="00E34630" w:rsidP="00565916">
      <w:pPr>
        <w:spacing w:line="360" w:lineRule="auto"/>
        <w:ind w:left="720"/>
        <w:jc w:val="both"/>
        <w:rPr>
          <w:rFonts w:ascii="Times New Roman" w:hAnsi="Times New Roman"/>
        </w:rPr>
      </w:pPr>
      <w:r>
        <w:rPr>
          <w:rFonts w:ascii="Times New Roman" w:hAnsi="Times New Roman"/>
        </w:rPr>
        <w:t xml:space="preserve">An eye examination by an optician may be required following over exposure to high frequency fields, with a follow up examination within 3 months.  </w:t>
      </w:r>
    </w:p>
    <w:p w14:paraId="30AE53D1" w14:textId="77777777" w:rsidR="00DC1357" w:rsidRPr="00DC1357" w:rsidRDefault="000B2469" w:rsidP="00565916">
      <w:pPr>
        <w:spacing w:line="360" w:lineRule="auto"/>
        <w:ind w:left="-567" w:firstLine="567"/>
        <w:jc w:val="both"/>
        <w:rPr>
          <w:rFonts w:ascii="Times New Roman" w:hAnsi="Times New Roman"/>
          <w:b/>
          <w:sz w:val="18"/>
        </w:rPr>
      </w:pPr>
      <w:r w:rsidRPr="000B2469">
        <w:rPr>
          <w:rFonts w:ascii="Times New Roman" w:hAnsi="Times New Roman"/>
          <w:b/>
        </w:rPr>
        <w:tab/>
      </w:r>
    </w:p>
    <w:p w14:paraId="32A2DB0B" w14:textId="2AD25072" w:rsidR="00592235" w:rsidRPr="00DC1357" w:rsidRDefault="000B2469" w:rsidP="00565916">
      <w:pPr>
        <w:spacing w:line="360" w:lineRule="auto"/>
        <w:jc w:val="both"/>
        <w:rPr>
          <w:rFonts w:ascii="Times New Roman" w:hAnsi="Times New Roman"/>
          <w:b/>
          <w:sz w:val="18"/>
        </w:rPr>
      </w:pPr>
      <w:r w:rsidRPr="00DC1357">
        <w:rPr>
          <w:rFonts w:ascii="Times New Roman" w:hAnsi="Times New Roman"/>
          <w:b/>
        </w:rPr>
        <w:t>Benefits of introducing proposed Regulations</w:t>
      </w:r>
    </w:p>
    <w:p w14:paraId="2CBA14D5" w14:textId="19722ACC" w:rsidR="000B2469" w:rsidRPr="000B2469" w:rsidRDefault="000B2469" w:rsidP="00565916">
      <w:pPr>
        <w:spacing w:line="360" w:lineRule="auto"/>
        <w:jc w:val="both"/>
        <w:rPr>
          <w:rFonts w:ascii="Times New Roman" w:hAnsi="Times New Roman"/>
        </w:rPr>
      </w:pPr>
      <w:r w:rsidRPr="000B2469">
        <w:rPr>
          <w:rFonts w:ascii="Times New Roman" w:hAnsi="Times New Roman"/>
        </w:rPr>
        <w:t xml:space="preserve">Health and safety benefits: </w:t>
      </w:r>
      <w:r w:rsidR="0000168A">
        <w:rPr>
          <w:rFonts w:ascii="Times New Roman" w:hAnsi="Times New Roman"/>
        </w:rPr>
        <w:t xml:space="preserve">The introduction of the proposed Regulations should further reduce the </w:t>
      </w:r>
      <w:r w:rsidR="00E851F3">
        <w:rPr>
          <w:rFonts w:ascii="Times New Roman" w:hAnsi="Times New Roman"/>
        </w:rPr>
        <w:t>harmful</w:t>
      </w:r>
      <w:r w:rsidR="00B64C7B">
        <w:rPr>
          <w:rFonts w:ascii="Times New Roman" w:hAnsi="Times New Roman"/>
        </w:rPr>
        <w:t xml:space="preserve"> </w:t>
      </w:r>
      <w:r w:rsidR="007C5D40">
        <w:rPr>
          <w:rFonts w:ascii="Times New Roman" w:hAnsi="Times New Roman"/>
        </w:rPr>
        <w:t xml:space="preserve">direct and indirect </w:t>
      </w:r>
      <w:r w:rsidR="00B64C7B">
        <w:rPr>
          <w:rFonts w:ascii="Times New Roman" w:hAnsi="Times New Roman"/>
        </w:rPr>
        <w:t xml:space="preserve">effects of </w:t>
      </w:r>
      <w:r w:rsidR="00CB7F32">
        <w:rPr>
          <w:rFonts w:ascii="Times New Roman" w:hAnsi="Times New Roman"/>
        </w:rPr>
        <w:t>EMFs</w:t>
      </w:r>
      <w:r w:rsidR="00B64C7B">
        <w:rPr>
          <w:rFonts w:ascii="Times New Roman" w:hAnsi="Times New Roman"/>
        </w:rPr>
        <w:t xml:space="preserve"> to employees exposed to them while at work. These</w:t>
      </w:r>
      <w:r w:rsidR="00B0616A">
        <w:rPr>
          <w:rFonts w:ascii="Times New Roman" w:hAnsi="Times New Roman"/>
        </w:rPr>
        <w:t xml:space="preserve"> workers </w:t>
      </w:r>
      <w:r w:rsidR="0000168A">
        <w:rPr>
          <w:rFonts w:ascii="Times New Roman" w:hAnsi="Times New Roman"/>
        </w:rPr>
        <w:t xml:space="preserve">will benefit from the reassurance </w:t>
      </w:r>
      <w:r w:rsidR="00B0616A">
        <w:rPr>
          <w:rFonts w:ascii="Times New Roman" w:hAnsi="Times New Roman"/>
        </w:rPr>
        <w:t>that there is a specific set of requirements to protect against this common</w:t>
      </w:r>
      <w:r w:rsidR="009E2601">
        <w:rPr>
          <w:rFonts w:ascii="Times New Roman" w:hAnsi="Times New Roman"/>
        </w:rPr>
        <w:t xml:space="preserve"> occupational </w:t>
      </w:r>
      <w:r w:rsidR="00B0616A">
        <w:rPr>
          <w:rFonts w:ascii="Times New Roman" w:hAnsi="Times New Roman"/>
        </w:rPr>
        <w:t xml:space="preserve">hazard.  </w:t>
      </w:r>
    </w:p>
    <w:p w14:paraId="79BDEF11" w14:textId="0FC00E5F" w:rsidR="000B2469" w:rsidRPr="000B2469" w:rsidRDefault="000B2469" w:rsidP="00565916">
      <w:pPr>
        <w:spacing w:line="360" w:lineRule="auto"/>
        <w:jc w:val="both"/>
        <w:rPr>
          <w:rFonts w:ascii="Times New Roman" w:hAnsi="Times New Roman"/>
        </w:rPr>
      </w:pPr>
      <w:r w:rsidRPr="000B2469">
        <w:rPr>
          <w:rFonts w:ascii="Times New Roman" w:hAnsi="Times New Roman"/>
        </w:rPr>
        <w:t xml:space="preserve">Business benefits: </w:t>
      </w:r>
      <w:r w:rsidR="007C5D40">
        <w:rPr>
          <w:rFonts w:ascii="Times New Roman" w:hAnsi="Times New Roman"/>
        </w:rPr>
        <w:t>The reduction of indirect effects has ben</w:t>
      </w:r>
      <w:r w:rsidR="0054517D">
        <w:rPr>
          <w:rFonts w:ascii="Times New Roman" w:hAnsi="Times New Roman"/>
        </w:rPr>
        <w:t>e</w:t>
      </w:r>
      <w:r w:rsidR="007C5D40">
        <w:rPr>
          <w:rFonts w:ascii="Times New Roman" w:hAnsi="Times New Roman"/>
        </w:rPr>
        <w:t xml:space="preserve">fits such as the </w:t>
      </w:r>
      <w:r w:rsidR="00E851F3">
        <w:rPr>
          <w:rFonts w:ascii="Times New Roman" w:hAnsi="Times New Roman"/>
        </w:rPr>
        <w:t>non-interference</w:t>
      </w:r>
      <w:r w:rsidR="007C5D40">
        <w:rPr>
          <w:rFonts w:ascii="Times New Roman" w:hAnsi="Times New Roman"/>
        </w:rPr>
        <w:t xml:space="preserve"> with medical </w:t>
      </w:r>
      <w:r w:rsidR="00E851F3">
        <w:rPr>
          <w:rFonts w:ascii="Times New Roman" w:hAnsi="Times New Roman"/>
        </w:rPr>
        <w:t>equipment</w:t>
      </w:r>
      <w:r w:rsidR="007C5D40">
        <w:rPr>
          <w:rFonts w:ascii="Times New Roman" w:hAnsi="Times New Roman"/>
        </w:rPr>
        <w:t xml:space="preserve"> and </w:t>
      </w:r>
      <w:r w:rsidR="0054517D">
        <w:rPr>
          <w:rFonts w:ascii="Times New Roman" w:hAnsi="Times New Roman"/>
        </w:rPr>
        <w:t xml:space="preserve">the </w:t>
      </w:r>
      <w:r w:rsidR="007C5D40">
        <w:rPr>
          <w:rFonts w:ascii="Times New Roman" w:hAnsi="Times New Roman"/>
        </w:rPr>
        <w:t xml:space="preserve">reduced </w:t>
      </w:r>
      <w:r w:rsidR="0054517D">
        <w:rPr>
          <w:rFonts w:ascii="Times New Roman" w:hAnsi="Times New Roman"/>
        </w:rPr>
        <w:t>risk of fire and explosion and</w:t>
      </w:r>
      <w:r w:rsidR="007C5D40">
        <w:rPr>
          <w:rFonts w:ascii="Times New Roman" w:hAnsi="Times New Roman"/>
        </w:rPr>
        <w:t xml:space="preserve"> electric shock and burn</w:t>
      </w:r>
      <w:r w:rsidR="0054517D">
        <w:rPr>
          <w:rFonts w:ascii="Times New Roman" w:hAnsi="Times New Roman"/>
        </w:rPr>
        <w:t>s.</w:t>
      </w:r>
    </w:p>
    <w:p w14:paraId="6164DEE2" w14:textId="77777777" w:rsidR="00DC1357" w:rsidRDefault="000B2469" w:rsidP="00565916">
      <w:pPr>
        <w:spacing w:line="360" w:lineRule="auto"/>
        <w:jc w:val="both"/>
        <w:rPr>
          <w:rFonts w:ascii="Times New Roman" w:hAnsi="Times New Roman"/>
          <w:b/>
        </w:rPr>
      </w:pPr>
      <w:r w:rsidRPr="000B2469">
        <w:rPr>
          <w:rFonts w:ascii="Times New Roman" w:hAnsi="Times New Roman"/>
          <w:b/>
        </w:rPr>
        <w:tab/>
      </w:r>
    </w:p>
    <w:p w14:paraId="06894827" w14:textId="75C76A27" w:rsidR="000B2469" w:rsidRPr="000B2469" w:rsidRDefault="000B2469" w:rsidP="00565916">
      <w:pPr>
        <w:spacing w:line="360" w:lineRule="auto"/>
        <w:jc w:val="both"/>
        <w:rPr>
          <w:rFonts w:ascii="Times New Roman" w:hAnsi="Times New Roman"/>
          <w:b/>
        </w:rPr>
      </w:pPr>
      <w:r w:rsidRPr="000B2469">
        <w:rPr>
          <w:rFonts w:ascii="Times New Roman" w:hAnsi="Times New Roman"/>
          <w:b/>
        </w:rPr>
        <w:t>Costs of introducing proposed Regulations</w:t>
      </w:r>
    </w:p>
    <w:p w14:paraId="5BA1C613" w14:textId="074D6FF4" w:rsidR="00591790" w:rsidRDefault="00987D0C" w:rsidP="00565916">
      <w:pPr>
        <w:spacing w:line="360" w:lineRule="auto"/>
        <w:jc w:val="both"/>
        <w:rPr>
          <w:rFonts w:ascii="Times New Roman" w:hAnsi="Times New Roman" w:cs="Times New Roman"/>
        </w:rPr>
      </w:pPr>
      <w:r>
        <w:rPr>
          <w:rFonts w:ascii="Times New Roman" w:hAnsi="Times New Roman" w:cs="Times New Roman"/>
          <w:b/>
        </w:rPr>
        <w:lastRenderedPageBreak/>
        <w:t xml:space="preserve">Compliance </w:t>
      </w:r>
      <w:r w:rsidR="000B2469" w:rsidRPr="00412CD8">
        <w:rPr>
          <w:rFonts w:ascii="Times New Roman" w:hAnsi="Times New Roman" w:cs="Times New Roman"/>
          <w:b/>
        </w:rPr>
        <w:t>costs:</w:t>
      </w:r>
      <w:r w:rsidR="000B2469" w:rsidRPr="000B2469">
        <w:rPr>
          <w:rFonts w:ascii="Times New Roman" w:hAnsi="Times New Roman" w:cs="Times New Roman"/>
        </w:rPr>
        <w:t xml:space="preserve"> </w:t>
      </w:r>
      <w:r w:rsidR="00D57E05">
        <w:rPr>
          <w:rFonts w:ascii="Times New Roman" w:hAnsi="Times New Roman" w:cs="Times New Roman"/>
        </w:rPr>
        <w:t>The</w:t>
      </w:r>
      <w:r>
        <w:rPr>
          <w:rFonts w:ascii="Times New Roman" w:hAnsi="Times New Roman" w:cs="Times New Roman"/>
        </w:rPr>
        <w:t xml:space="preserve">se are costs that employers </w:t>
      </w:r>
      <w:r w:rsidR="009516A3">
        <w:rPr>
          <w:rFonts w:ascii="Times New Roman" w:hAnsi="Times New Roman" w:cs="Times New Roman"/>
        </w:rPr>
        <w:t xml:space="preserve">in some sectors </w:t>
      </w:r>
      <w:r>
        <w:rPr>
          <w:rFonts w:ascii="Times New Roman" w:hAnsi="Times New Roman" w:cs="Times New Roman"/>
        </w:rPr>
        <w:t xml:space="preserve">will have to bear in order to comply with </w:t>
      </w:r>
      <w:r w:rsidR="00E851F3">
        <w:rPr>
          <w:rFonts w:ascii="Times New Roman" w:hAnsi="Times New Roman" w:cs="Times New Roman"/>
        </w:rPr>
        <w:t>the proposed</w:t>
      </w:r>
      <w:r w:rsidR="00D57E05">
        <w:rPr>
          <w:rFonts w:ascii="Times New Roman" w:hAnsi="Times New Roman" w:cs="Times New Roman"/>
        </w:rPr>
        <w:t xml:space="preserve"> Regulations</w:t>
      </w:r>
      <w:r>
        <w:rPr>
          <w:rFonts w:ascii="Times New Roman" w:hAnsi="Times New Roman" w:cs="Times New Roman"/>
        </w:rPr>
        <w:t xml:space="preserve">. The </w:t>
      </w:r>
      <w:r w:rsidR="00057C04">
        <w:rPr>
          <w:rFonts w:ascii="Times New Roman" w:hAnsi="Times New Roman" w:cs="Times New Roman"/>
        </w:rPr>
        <w:t xml:space="preserve">indicative </w:t>
      </w:r>
      <w:r>
        <w:rPr>
          <w:rFonts w:ascii="Times New Roman" w:hAnsi="Times New Roman" w:cs="Times New Roman"/>
        </w:rPr>
        <w:t xml:space="preserve">costs specified </w:t>
      </w:r>
      <w:r w:rsidR="009516A3">
        <w:rPr>
          <w:rFonts w:ascii="Times New Roman" w:hAnsi="Times New Roman" w:cs="Times New Roman"/>
        </w:rPr>
        <w:t xml:space="preserve">in Table 1 below </w:t>
      </w:r>
      <w:r>
        <w:rPr>
          <w:rFonts w:ascii="Times New Roman" w:hAnsi="Times New Roman" w:cs="Times New Roman"/>
        </w:rPr>
        <w:t xml:space="preserve">are taken directly from the Impact Assessment of </w:t>
      </w:r>
      <w:r w:rsidR="00D6660B">
        <w:rPr>
          <w:rFonts w:ascii="Times New Roman" w:hAnsi="Times New Roman" w:cs="Times New Roman"/>
        </w:rPr>
        <w:t>the proposed Directive</w:t>
      </w:r>
      <w:r>
        <w:rPr>
          <w:rFonts w:ascii="Times New Roman" w:hAnsi="Times New Roman" w:cs="Times New Roman"/>
        </w:rPr>
        <w:t>.</w:t>
      </w:r>
      <w:r w:rsidR="00D57E05">
        <w:rPr>
          <w:rFonts w:ascii="Times New Roman" w:hAnsi="Times New Roman" w:cs="Times New Roman"/>
        </w:rPr>
        <w:t xml:space="preserve"> </w:t>
      </w:r>
      <w:r>
        <w:rPr>
          <w:rFonts w:ascii="Times New Roman" w:hAnsi="Times New Roman" w:cs="Times New Roman"/>
        </w:rPr>
        <w:t xml:space="preserve">The policy option adopted by the EU Commission was for a new Directive with revised exposure limits and partial exemptions and the costs indicated are for this option. </w:t>
      </w:r>
      <w:r w:rsidR="00D6660B">
        <w:rPr>
          <w:rFonts w:ascii="Times New Roman" w:hAnsi="Times New Roman" w:cs="Times New Roman"/>
        </w:rPr>
        <w:t>Costs are either for an individual workplace or a company/establishment.</w:t>
      </w:r>
    </w:p>
    <w:p w14:paraId="6B6F728F" w14:textId="04389450" w:rsidR="00D6660B" w:rsidRDefault="00D6660B" w:rsidP="00565916">
      <w:pPr>
        <w:spacing w:line="360" w:lineRule="auto"/>
        <w:jc w:val="both"/>
        <w:rPr>
          <w:rFonts w:ascii="Times New Roman" w:hAnsi="Times New Roman" w:cs="Times New Roman"/>
        </w:rPr>
      </w:pPr>
      <w:r>
        <w:rPr>
          <w:rFonts w:ascii="Times New Roman" w:hAnsi="Times New Roman" w:cs="Times New Roman"/>
        </w:rPr>
        <w:t xml:space="preserve">Costs will be higher for small and medium enterprises as generally these will not have </w:t>
      </w:r>
      <w:r w:rsidR="00E851F3">
        <w:rPr>
          <w:rFonts w:ascii="Times New Roman" w:hAnsi="Times New Roman" w:cs="Times New Roman"/>
        </w:rPr>
        <w:t>in-house</w:t>
      </w:r>
      <w:r>
        <w:rPr>
          <w:rFonts w:ascii="Times New Roman" w:hAnsi="Times New Roman" w:cs="Times New Roman"/>
        </w:rPr>
        <w:t xml:space="preserve"> expertise or resources that larger companies have</w:t>
      </w:r>
      <w:r w:rsidR="009516A3">
        <w:rPr>
          <w:rFonts w:ascii="Times New Roman" w:hAnsi="Times New Roman" w:cs="Times New Roman"/>
        </w:rPr>
        <w:t xml:space="preserve"> and will therefore have to engage consultants</w:t>
      </w:r>
      <w:r w:rsidR="00E851F3">
        <w:rPr>
          <w:rFonts w:ascii="Times New Roman" w:hAnsi="Times New Roman" w:cs="Times New Roman"/>
        </w:rPr>
        <w:t>.</w:t>
      </w:r>
    </w:p>
    <w:p w14:paraId="0895BFDB" w14:textId="2811635F" w:rsidR="0098215E" w:rsidRDefault="0098215E" w:rsidP="00565916">
      <w:pPr>
        <w:spacing w:line="360" w:lineRule="auto"/>
        <w:jc w:val="both"/>
        <w:rPr>
          <w:rFonts w:ascii="Times New Roman" w:hAnsi="Times New Roman" w:cs="Times New Roman"/>
        </w:rPr>
      </w:pPr>
      <w:r>
        <w:rPr>
          <w:rFonts w:ascii="Times New Roman" w:hAnsi="Times New Roman" w:cs="Times New Roman"/>
        </w:rPr>
        <w:t>Generally these are once off costs to be borne by the company, but in some situations they could be considered an annual cost if there are substantial changes in workplace design, equipment used or working procedures.</w:t>
      </w:r>
    </w:p>
    <w:p w14:paraId="2828C376" w14:textId="3EDF3DFD" w:rsidR="009516A3" w:rsidRDefault="009516A3" w:rsidP="00565916">
      <w:pPr>
        <w:spacing w:line="360" w:lineRule="auto"/>
        <w:jc w:val="both"/>
        <w:rPr>
          <w:rFonts w:ascii="Times New Roman" w:hAnsi="Times New Roman" w:cs="Times New Roman"/>
        </w:rPr>
      </w:pPr>
      <w:r>
        <w:rPr>
          <w:rFonts w:ascii="Times New Roman" w:hAnsi="Times New Roman" w:cs="Times New Roman"/>
        </w:rPr>
        <w:t>Table 1: Costs</w:t>
      </w:r>
    </w:p>
    <w:tbl>
      <w:tblPr>
        <w:tblStyle w:val="TableGrid"/>
        <w:tblW w:w="0" w:type="auto"/>
        <w:tblLook w:val="04A0" w:firstRow="1" w:lastRow="0" w:firstColumn="1" w:lastColumn="0" w:noHBand="0" w:noVBand="1"/>
      </w:tblPr>
      <w:tblGrid>
        <w:gridCol w:w="3080"/>
        <w:gridCol w:w="3081"/>
      </w:tblGrid>
      <w:tr w:rsidR="0098215E" w14:paraId="2B62607B" w14:textId="77777777" w:rsidTr="00D6660B">
        <w:tc>
          <w:tcPr>
            <w:tcW w:w="3080" w:type="dxa"/>
          </w:tcPr>
          <w:p w14:paraId="37E0AD63" w14:textId="0B358737" w:rsidR="0098215E" w:rsidRPr="00057C04" w:rsidRDefault="0098215E" w:rsidP="00565916">
            <w:pPr>
              <w:spacing w:line="360" w:lineRule="auto"/>
              <w:jc w:val="both"/>
              <w:rPr>
                <w:rFonts w:ascii="Times New Roman" w:hAnsi="Times New Roman" w:cs="Times New Roman"/>
                <w:b/>
              </w:rPr>
            </w:pPr>
            <w:r w:rsidRPr="00057C04">
              <w:rPr>
                <w:rFonts w:ascii="Times New Roman" w:hAnsi="Times New Roman" w:cs="Times New Roman"/>
                <w:b/>
              </w:rPr>
              <w:t>Sector</w:t>
            </w:r>
          </w:p>
        </w:tc>
        <w:tc>
          <w:tcPr>
            <w:tcW w:w="3081" w:type="dxa"/>
          </w:tcPr>
          <w:p w14:paraId="4168703A" w14:textId="4BBA21A4" w:rsidR="0098215E" w:rsidRPr="00057C04" w:rsidRDefault="0098215E" w:rsidP="00565916">
            <w:pPr>
              <w:spacing w:line="360" w:lineRule="auto"/>
              <w:jc w:val="both"/>
              <w:rPr>
                <w:rFonts w:ascii="Times New Roman" w:hAnsi="Times New Roman" w:cs="Times New Roman"/>
                <w:b/>
              </w:rPr>
            </w:pPr>
            <w:r w:rsidRPr="00057C04">
              <w:rPr>
                <w:rFonts w:ascii="Times New Roman" w:hAnsi="Times New Roman" w:cs="Times New Roman"/>
                <w:b/>
              </w:rPr>
              <w:t>Cost (€)</w:t>
            </w:r>
          </w:p>
        </w:tc>
      </w:tr>
      <w:tr w:rsidR="0098215E" w14:paraId="06A27193" w14:textId="77777777" w:rsidTr="00D6660B">
        <w:tc>
          <w:tcPr>
            <w:tcW w:w="3080" w:type="dxa"/>
          </w:tcPr>
          <w:p w14:paraId="781C151D" w14:textId="47845C70" w:rsidR="0098215E" w:rsidRDefault="0098215E" w:rsidP="00565916">
            <w:pPr>
              <w:spacing w:line="360" w:lineRule="auto"/>
              <w:jc w:val="both"/>
              <w:rPr>
                <w:rFonts w:ascii="Times New Roman" w:hAnsi="Times New Roman" w:cs="Times New Roman"/>
              </w:rPr>
            </w:pPr>
            <w:r>
              <w:rPr>
                <w:rFonts w:ascii="Times New Roman" w:hAnsi="Times New Roman" w:cs="Times New Roman"/>
              </w:rPr>
              <w:t>Electricity generation and transmission</w:t>
            </w:r>
          </w:p>
        </w:tc>
        <w:tc>
          <w:tcPr>
            <w:tcW w:w="3081" w:type="dxa"/>
          </w:tcPr>
          <w:p w14:paraId="6862EFD8" w14:textId="1DA402CB" w:rsidR="0098215E" w:rsidRDefault="0098215E" w:rsidP="00565916">
            <w:pPr>
              <w:spacing w:line="360" w:lineRule="auto"/>
              <w:jc w:val="both"/>
              <w:rPr>
                <w:rFonts w:ascii="Times New Roman" w:hAnsi="Times New Roman" w:cs="Times New Roman"/>
              </w:rPr>
            </w:pPr>
            <w:r>
              <w:rPr>
                <w:rFonts w:ascii="Times New Roman" w:hAnsi="Times New Roman" w:cs="Times New Roman"/>
              </w:rPr>
              <w:t>1250 (per workplace)</w:t>
            </w:r>
          </w:p>
        </w:tc>
      </w:tr>
      <w:tr w:rsidR="0098215E" w14:paraId="754B2A38" w14:textId="77777777" w:rsidTr="00D6660B">
        <w:tc>
          <w:tcPr>
            <w:tcW w:w="3080" w:type="dxa"/>
          </w:tcPr>
          <w:p w14:paraId="20EBD36B" w14:textId="3BDB192B" w:rsidR="0098215E" w:rsidRDefault="0098215E" w:rsidP="00565916">
            <w:pPr>
              <w:spacing w:line="360" w:lineRule="auto"/>
              <w:jc w:val="both"/>
              <w:rPr>
                <w:rFonts w:ascii="Times New Roman" w:hAnsi="Times New Roman" w:cs="Times New Roman"/>
              </w:rPr>
            </w:pPr>
            <w:r>
              <w:rPr>
                <w:rFonts w:ascii="Times New Roman" w:hAnsi="Times New Roman" w:cs="Times New Roman"/>
              </w:rPr>
              <w:t>Electric welding</w:t>
            </w:r>
          </w:p>
        </w:tc>
        <w:tc>
          <w:tcPr>
            <w:tcW w:w="3081" w:type="dxa"/>
          </w:tcPr>
          <w:p w14:paraId="121A807F" w14:textId="06B358C0" w:rsidR="0098215E" w:rsidRDefault="0098215E" w:rsidP="00565916">
            <w:pPr>
              <w:spacing w:line="360" w:lineRule="auto"/>
              <w:jc w:val="both"/>
              <w:rPr>
                <w:rFonts w:ascii="Times New Roman" w:hAnsi="Times New Roman" w:cs="Times New Roman"/>
              </w:rPr>
            </w:pPr>
            <w:r>
              <w:rPr>
                <w:rFonts w:ascii="Times New Roman" w:hAnsi="Times New Roman" w:cs="Times New Roman"/>
              </w:rPr>
              <w:t>1375 (per establishment)</w:t>
            </w:r>
          </w:p>
        </w:tc>
      </w:tr>
      <w:tr w:rsidR="0098215E" w14:paraId="5F2A71E9" w14:textId="77777777" w:rsidTr="00D6660B">
        <w:tc>
          <w:tcPr>
            <w:tcW w:w="3080" w:type="dxa"/>
          </w:tcPr>
          <w:p w14:paraId="5F9F9337" w14:textId="3896252A" w:rsidR="0098215E" w:rsidRDefault="0098215E" w:rsidP="00565916">
            <w:pPr>
              <w:spacing w:line="360" w:lineRule="auto"/>
              <w:jc w:val="both"/>
              <w:rPr>
                <w:rFonts w:ascii="Times New Roman" w:hAnsi="Times New Roman" w:cs="Times New Roman"/>
              </w:rPr>
            </w:pPr>
            <w:r>
              <w:rPr>
                <w:rFonts w:ascii="Times New Roman" w:hAnsi="Times New Roman" w:cs="Times New Roman"/>
              </w:rPr>
              <w:t>Induction heating</w:t>
            </w:r>
          </w:p>
        </w:tc>
        <w:tc>
          <w:tcPr>
            <w:tcW w:w="3081" w:type="dxa"/>
          </w:tcPr>
          <w:p w14:paraId="07DF7BFA" w14:textId="731C9545" w:rsidR="0098215E" w:rsidRDefault="0098215E" w:rsidP="00565916">
            <w:pPr>
              <w:spacing w:line="360" w:lineRule="auto"/>
              <w:jc w:val="both"/>
              <w:rPr>
                <w:rFonts w:ascii="Times New Roman" w:hAnsi="Times New Roman" w:cs="Times New Roman"/>
              </w:rPr>
            </w:pPr>
            <w:r>
              <w:rPr>
                <w:rFonts w:ascii="Times New Roman" w:hAnsi="Times New Roman" w:cs="Times New Roman"/>
              </w:rPr>
              <w:t>2680 (per establishment)</w:t>
            </w:r>
          </w:p>
        </w:tc>
      </w:tr>
      <w:tr w:rsidR="0098215E" w14:paraId="7DB964D3" w14:textId="77777777" w:rsidTr="00D6660B">
        <w:tc>
          <w:tcPr>
            <w:tcW w:w="3080" w:type="dxa"/>
          </w:tcPr>
          <w:p w14:paraId="7A60DDFE" w14:textId="33545C58" w:rsidR="0098215E" w:rsidRDefault="0098215E" w:rsidP="00565916">
            <w:pPr>
              <w:spacing w:line="360" w:lineRule="auto"/>
              <w:jc w:val="both"/>
              <w:rPr>
                <w:rFonts w:ascii="Times New Roman" w:hAnsi="Times New Roman" w:cs="Times New Roman"/>
              </w:rPr>
            </w:pPr>
            <w:r>
              <w:rPr>
                <w:rFonts w:ascii="Times New Roman" w:hAnsi="Times New Roman" w:cs="Times New Roman"/>
              </w:rPr>
              <w:t>Surgical diathermy</w:t>
            </w:r>
          </w:p>
        </w:tc>
        <w:tc>
          <w:tcPr>
            <w:tcW w:w="3081" w:type="dxa"/>
          </w:tcPr>
          <w:p w14:paraId="71315E1E" w14:textId="0EB74EC9" w:rsidR="0098215E" w:rsidRDefault="0098215E" w:rsidP="00565916">
            <w:pPr>
              <w:spacing w:line="360" w:lineRule="auto"/>
              <w:jc w:val="both"/>
              <w:rPr>
                <w:rFonts w:ascii="Times New Roman" w:hAnsi="Times New Roman" w:cs="Times New Roman"/>
              </w:rPr>
            </w:pPr>
            <w:r>
              <w:rPr>
                <w:rFonts w:ascii="Times New Roman" w:hAnsi="Times New Roman" w:cs="Times New Roman"/>
              </w:rPr>
              <w:t>2720 (per establishment)</w:t>
            </w:r>
          </w:p>
        </w:tc>
      </w:tr>
      <w:tr w:rsidR="0098215E" w14:paraId="24C78903" w14:textId="77777777" w:rsidTr="00D6660B">
        <w:tc>
          <w:tcPr>
            <w:tcW w:w="3080" w:type="dxa"/>
          </w:tcPr>
          <w:p w14:paraId="4C5E0151" w14:textId="46677908" w:rsidR="0098215E" w:rsidRDefault="0098215E" w:rsidP="00565916">
            <w:pPr>
              <w:spacing w:line="360" w:lineRule="auto"/>
              <w:jc w:val="both"/>
              <w:rPr>
                <w:rFonts w:ascii="Times New Roman" w:hAnsi="Times New Roman" w:cs="Times New Roman"/>
              </w:rPr>
            </w:pPr>
            <w:r>
              <w:rPr>
                <w:rFonts w:ascii="Times New Roman" w:hAnsi="Times New Roman" w:cs="Times New Roman"/>
              </w:rPr>
              <w:t>Radio frequency sealers</w:t>
            </w:r>
          </w:p>
        </w:tc>
        <w:tc>
          <w:tcPr>
            <w:tcW w:w="3081" w:type="dxa"/>
          </w:tcPr>
          <w:p w14:paraId="4D655445" w14:textId="00B0771A" w:rsidR="0098215E" w:rsidRDefault="0098215E" w:rsidP="00565916">
            <w:pPr>
              <w:spacing w:line="360" w:lineRule="auto"/>
              <w:jc w:val="both"/>
              <w:rPr>
                <w:rFonts w:ascii="Times New Roman" w:hAnsi="Times New Roman" w:cs="Times New Roman"/>
              </w:rPr>
            </w:pPr>
            <w:r>
              <w:rPr>
                <w:rFonts w:ascii="Times New Roman" w:hAnsi="Times New Roman" w:cs="Times New Roman"/>
              </w:rPr>
              <w:t>3000 (per establishment)</w:t>
            </w:r>
          </w:p>
        </w:tc>
      </w:tr>
      <w:tr w:rsidR="0098215E" w14:paraId="32E80C88" w14:textId="77777777" w:rsidTr="00D6660B">
        <w:tc>
          <w:tcPr>
            <w:tcW w:w="3080" w:type="dxa"/>
          </w:tcPr>
          <w:p w14:paraId="15E00EB6" w14:textId="0A9AF250" w:rsidR="0098215E" w:rsidRDefault="0098215E" w:rsidP="00565916">
            <w:pPr>
              <w:spacing w:line="360" w:lineRule="auto"/>
              <w:jc w:val="both"/>
              <w:rPr>
                <w:rFonts w:ascii="Times New Roman" w:hAnsi="Times New Roman" w:cs="Times New Roman"/>
              </w:rPr>
            </w:pPr>
            <w:r>
              <w:rPr>
                <w:rFonts w:ascii="Times New Roman" w:hAnsi="Times New Roman" w:cs="Times New Roman"/>
              </w:rPr>
              <w:t>Broadcasting</w:t>
            </w:r>
          </w:p>
        </w:tc>
        <w:tc>
          <w:tcPr>
            <w:tcW w:w="3081" w:type="dxa"/>
          </w:tcPr>
          <w:p w14:paraId="4FA10EB1" w14:textId="0CD5D306" w:rsidR="0098215E" w:rsidRDefault="0098215E" w:rsidP="00565916">
            <w:pPr>
              <w:spacing w:line="360" w:lineRule="auto"/>
              <w:jc w:val="both"/>
              <w:rPr>
                <w:rFonts w:ascii="Times New Roman" w:hAnsi="Times New Roman" w:cs="Times New Roman"/>
              </w:rPr>
            </w:pPr>
            <w:r>
              <w:rPr>
                <w:rFonts w:ascii="Times New Roman" w:hAnsi="Times New Roman" w:cs="Times New Roman"/>
              </w:rPr>
              <w:t>150 (per establishment)</w:t>
            </w:r>
          </w:p>
        </w:tc>
      </w:tr>
      <w:tr w:rsidR="0098215E" w14:paraId="24B4F449" w14:textId="77777777" w:rsidTr="00D6660B">
        <w:tc>
          <w:tcPr>
            <w:tcW w:w="3080" w:type="dxa"/>
          </w:tcPr>
          <w:p w14:paraId="508A267D" w14:textId="030ADCBD" w:rsidR="0098215E" w:rsidRDefault="0098215E" w:rsidP="00565916">
            <w:pPr>
              <w:spacing w:line="360" w:lineRule="auto"/>
              <w:jc w:val="both"/>
              <w:rPr>
                <w:rFonts w:ascii="Times New Roman" w:hAnsi="Times New Roman" w:cs="Times New Roman"/>
              </w:rPr>
            </w:pPr>
            <w:r>
              <w:rPr>
                <w:rFonts w:ascii="Times New Roman" w:hAnsi="Times New Roman" w:cs="Times New Roman"/>
              </w:rPr>
              <w:t>Magnetic resonance imaging (MRI)</w:t>
            </w:r>
          </w:p>
        </w:tc>
        <w:tc>
          <w:tcPr>
            <w:tcW w:w="3081" w:type="dxa"/>
          </w:tcPr>
          <w:p w14:paraId="5EF369FE" w14:textId="020D57F7" w:rsidR="0098215E" w:rsidRDefault="0098215E" w:rsidP="00565916">
            <w:pPr>
              <w:spacing w:line="360" w:lineRule="auto"/>
              <w:jc w:val="both"/>
              <w:rPr>
                <w:rFonts w:ascii="Times New Roman" w:hAnsi="Times New Roman" w:cs="Times New Roman"/>
              </w:rPr>
            </w:pPr>
            <w:r>
              <w:rPr>
                <w:rFonts w:ascii="Times New Roman" w:hAnsi="Times New Roman" w:cs="Times New Roman"/>
              </w:rPr>
              <w:t>325 (per installation)</w:t>
            </w:r>
          </w:p>
        </w:tc>
      </w:tr>
    </w:tbl>
    <w:p w14:paraId="6838B2CC" w14:textId="722701CB" w:rsidR="00591790" w:rsidRPr="007475B5" w:rsidRDefault="00326ABD" w:rsidP="00565916">
      <w:pPr>
        <w:spacing w:line="360" w:lineRule="auto"/>
        <w:jc w:val="both"/>
        <w:rPr>
          <w:rFonts w:ascii="Times New Roman" w:hAnsi="Times New Roman" w:cs="Times New Roman"/>
        </w:rPr>
      </w:pPr>
      <w:r w:rsidRPr="007475B5">
        <w:rPr>
          <w:rFonts w:ascii="Times New Roman" w:hAnsi="Times New Roman" w:cs="Times New Roman"/>
        </w:rPr>
        <w:t xml:space="preserve"> </w:t>
      </w:r>
      <w:r w:rsidR="009516A3">
        <w:rPr>
          <w:rFonts w:ascii="Times New Roman" w:hAnsi="Times New Roman" w:cs="Times New Roman"/>
        </w:rPr>
        <w:t xml:space="preserve"> (Source: </w:t>
      </w:r>
      <w:r w:rsidR="00E851F3">
        <w:rPr>
          <w:rFonts w:ascii="Times New Roman" w:hAnsi="Times New Roman" w:cs="Times New Roman"/>
        </w:rPr>
        <w:t>Commission</w:t>
      </w:r>
      <w:r w:rsidR="009516A3">
        <w:rPr>
          <w:rFonts w:ascii="Times New Roman" w:hAnsi="Times New Roman" w:cs="Times New Roman"/>
        </w:rPr>
        <w:t xml:space="preserve"> Staff Working Paper, 2011, Impact Assessment of proposed EMF Directive)</w:t>
      </w:r>
      <w:r w:rsidRPr="007475B5">
        <w:rPr>
          <w:rFonts w:ascii="Times New Roman" w:hAnsi="Times New Roman" w:cs="Times New Roman"/>
        </w:rPr>
        <w:t xml:space="preserve"> </w:t>
      </w:r>
    </w:p>
    <w:p w14:paraId="54F441FC" w14:textId="025CA85B" w:rsidR="0043743C" w:rsidRDefault="0043743C" w:rsidP="00565916">
      <w:pPr>
        <w:spacing w:line="360" w:lineRule="auto"/>
        <w:jc w:val="both"/>
        <w:rPr>
          <w:rFonts w:ascii="Times New Roman" w:hAnsi="Times New Roman" w:cs="Times New Roman"/>
        </w:rPr>
      </w:pPr>
      <w:r>
        <w:rPr>
          <w:rFonts w:ascii="Times New Roman" w:hAnsi="Times New Roman" w:cs="Times New Roman"/>
        </w:rPr>
        <w:t xml:space="preserve">Compliance costs are the costs of actions by </w:t>
      </w:r>
      <w:r w:rsidR="009516A3">
        <w:rPr>
          <w:rFonts w:ascii="Times New Roman" w:hAnsi="Times New Roman" w:cs="Times New Roman"/>
        </w:rPr>
        <w:t xml:space="preserve">employers </w:t>
      </w:r>
      <w:r>
        <w:rPr>
          <w:rFonts w:ascii="Times New Roman" w:hAnsi="Times New Roman" w:cs="Times New Roman"/>
        </w:rPr>
        <w:t xml:space="preserve">to meet the requirements of the proposed </w:t>
      </w:r>
      <w:r w:rsidR="009516A3">
        <w:rPr>
          <w:rFonts w:ascii="Times New Roman" w:hAnsi="Times New Roman" w:cs="Times New Roman"/>
        </w:rPr>
        <w:t>R</w:t>
      </w:r>
      <w:r>
        <w:rPr>
          <w:rFonts w:ascii="Times New Roman" w:hAnsi="Times New Roman" w:cs="Times New Roman"/>
        </w:rPr>
        <w:t>egulations and are made up of 3 types</w:t>
      </w:r>
      <w:r w:rsidR="00DC1357">
        <w:rPr>
          <w:rFonts w:ascii="Times New Roman" w:hAnsi="Times New Roman" w:cs="Times New Roman"/>
        </w:rPr>
        <w:t>:</w:t>
      </w:r>
      <w:r>
        <w:rPr>
          <w:rFonts w:ascii="Times New Roman" w:hAnsi="Times New Roman" w:cs="Times New Roman"/>
        </w:rPr>
        <w:t xml:space="preserve"> generic, </w:t>
      </w:r>
      <w:proofErr w:type="spellStart"/>
      <w:r>
        <w:rPr>
          <w:rFonts w:ascii="Times New Roman" w:hAnsi="Times New Roman" w:cs="Times New Roman"/>
        </w:rPr>
        <w:t>sectoral</w:t>
      </w:r>
      <w:proofErr w:type="spellEnd"/>
      <w:r>
        <w:rPr>
          <w:rFonts w:ascii="Times New Roman" w:hAnsi="Times New Roman" w:cs="Times New Roman"/>
        </w:rPr>
        <w:t xml:space="preserve"> or activity specific and training.</w:t>
      </w:r>
    </w:p>
    <w:p w14:paraId="399438EE" w14:textId="13AF2691" w:rsidR="0043743C" w:rsidRDefault="0043743C" w:rsidP="00565916">
      <w:pPr>
        <w:pStyle w:val="ListParagraph"/>
        <w:numPr>
          <w:ilvl w:val="0"/>
          <w:numId w:val="18"/>
        </w:numPr>
        <w:spacing w:line="360" w:lineRule="auto"/>
        <w:jc w:val="both"/>
        <w:rPr>
          <w:rFonts w:ascii="Times New Roman" w:hAnsi="Times New Roman"/>
        </w:rPr>
      </w:pPr>
      <w:r>
        <w:rPr>
          <w:rFonts w:ascii="Times New Roman" w:hAnsi="Times New Roman"/>
        </w:rPr>
        <w:t>Generic costs</w:t>
      </w:r>
    </w:p>
    <w:p w14:paraId="41673F86" w14:textId="14F9DDB0" w:rsidR="0043743C" w:rsidRPr="0043743C" w:rsidRDefault="00E851F3" w:rsidP="00565916">
      <w:pPr>
        <w:spacing w:line="360" w:lineRule="auto"/>
        <w:ind w:left="360"/>
        <w:jc w:val="both"/>
        <w:rPr>
          <w:rFonts w:ascii="Times New Roman" w:hAnsi="Times New Roman"/>
        </w:rPr>
      </w:pPr>
      <w:r>
        <w:rPr>
          <w:rFonts w:ascii="Times New Roman" w:hAnsi="Times New Roman"/>
        </w:rPr>
        <w:t>These</w:t>
      </w:r>
      <w:r w:rsidR="0043743C">
        <w:rPr>
          <w:rFonts w:ascii="Times New Roman" w:hAnsi="Times New Roman"/>
        </w:rPr>
        <w:t xml:space="preserve"> include an analysis of the situation, carrying out the risk assessment and drawing up an action plan</w:t>
      </w:r>
      <w:r w:rsidR="009516A3">
        <w:rPr>
          <w:rFonts w:ascii="Times New Roman" w:hAnsi="Times New Roman"/>
        </w:rPr>
        <w:t>.</w:t>
      </w:r>
    </w:p>
    <w:p w14:paraId="206311D0" w14:textId="4484E827" w:rsidR="0043743C" w:rsidRDefault="0043743C" w:rsidP="00565916">
      <w:pPr>
        <w:pStyle w:val="ListParagraph"/>
        <w:numPr>
          <w:ilvl w:val="0"/>
          <w:numId w:val="18"/>
        </w:numPr>
        <w:spacing w:line="360" w:lineRule="auto"/>
        <w:jc w:val="both"/>
        <w:rPr>
          <w:rFonts w:ascii="Times New Roman" w:hAnsi="Times New Roman"/>
        </w:rPr>
      </w:pPr>
      <w:r>
        <w:rPr>
          <w:rFonts w:ascii="Times New Roman" w:hAnsi="Times New Roman"/>
        </w:rPr>
        <w:t xml:space="preserve">Sectoral or activity </w:t>
      </w:r>
      <w:r w:rsidR="009516A3">
        <w:rPr>
          <w:rFonts w:ascii="Times New Roman" w:hAnsi="Times New Roman"/>
        </w:rPr>
        <w:t xml:space="preserve">specific </w:t>
      </w:r>
      <w:r>
        <w:rPr>
          <w:rFonts w:ascii="Times New Roman" w:hAnsi="Times New Roman"/>
        </w:rPr>
        <w:t>costs</w:t>
      </w:r>
    </w:p>
    <w:p w14:paraId="0DC40621" w14:textId="0DB58AAD" w:rsidR="0043743C" w:rsidRPr="0043743C" w:rsidRDefault="0098215E" w:rsidP="00565916">
      <w:pPr>
        <w:spacing w:line="360" w:lineRule="auto"/>
        <w:ind w:left="360"/>
        <w:jc w:val="both"/>
        <w:rPr>
          <w:rFonts w:ascii="Times New Roman" w:hAnsi="Times New Roman"/>
        </w:rPr>
      </w:pPr>
      <w:r>
        <w:rPr>
          <w:rFonts w:ascii="Times New Roman" w:hAnsi="Times New Roman"/>
        </w:rPr>
        <w:t xml:space="preserve">These costs include EMF measurement and the introduction of protection measures. </w:t>
      </w:r>
    </w:p>
    <w:p w14:paraId="715A0891" w14:textId="2607A14E" w:rsidR="0043743C" w:rsidRDefault="0043743C" w:rsidP="00565916">
      <w:pPr>
        <w:pStyle w:val="ListParagraph"/>
        <w:numPr>
          <w:ilvl w:val="0"/>
          <w:numId w:val="18"/>
        </w:numPr>
        <w:spacing w:line="360" w:lineRule="auto"/>
        <w:jc w:val="both"/>
        <w:rPr>
          <w:rFonts w:ascii="Times New Roman" w:hAnsi="Times New Roman"/>
        </w:rPr>
      </w:pPr>
      <w:r>
        <w:rPr>
          <w:rFonts w:ascii="Times New Roman" w:hAnsi="Times New Roman"/>
        </w:rPr>
        <w:t>Training costs</w:t>
      </w:r>
    </w:p>
    <w:p w14:paraId="5C8C06C7" w14:textId="1A91A800" w:rsidR="0043743C" w:rsidRPr="0043743C" w:rsidRDefault="0098215E" w:rsidP="00565916">
      <w:pPr>
        <w:spacing w:line="360" w:lineRule="auto"/>
        <w:ind w:left="360"/>
        <w:jc w:val="both"/>
        <w:rPr>
          <w:rFonts w:ascii="Times New Roman" w:hAnsi="Times New Roman" w:cs="Times New Roman"/>
        </w:rPr>
      </w:pPr>
      <w:r>
        <w:rPr>
          <w:rFonts w:ascii="Times New Roman" w:hAnsi="Times New Roman"/>
        </w:rPr>
        <w:lastRenderedPageBreak/>
        <w:t xml:space="preserve">Employees in these sectors will need specific information about the potential health effects arising from over exposure, the results of the risk </w:t>
      </w:r>
      <w:r w:rsidR="00E851F3">
        <w:rPr>
          <w:rFonts w:ascii="Times New Roman" w:hAnsi="Times New Roman"/>
        </w:rPr>
        <w:t>assessment</w:t>
      </w:r>
      <w:r>
        <w:rPr>
          <w:rFonts w:ascii="Times New Roman" w:hAnsi="Times New Roman"/>
        </w:rPr>
        <w:t xml:space="preserve"> and the protective measures taken by the employer.</w:t>
      </w:r>
    </w:p>
    <w:p w14:paraId="62302B87" w14:textId="37B34A4E" w:rsidR="00591790" w:rsidRDefault="00591790" w:rsidP="00565916">
      <w:pPr>
        <w:spacing w:line="360" w:lineRule="auto"/>
        <w:jc w:val="both"/>
        <w:rPr>
          <w:rFonts w:ascii="Times New Roman" w:hAnsi="Times New Roman" w:cs="Times New Roman"/>
        </w:rPr>
      </w:pPr>
      <w:r w:rsidRPr="007475B5">
        <w:rPr>
          <w:rFonts w:ascii="Times New Roman" w:hAnsi="Times New Roman" w:cs="Times New Roman"/>
        </w:rPr>
        <w:t>The obligation to produce a risk assessment specifi</w:t>
      </w:r>
      <w:r w:rsidR="00A255A9">
        <w:rPr>
          <w:rFonts w:ascii="Times New Roman" w:hAnsi="Times New Roman" w:cs="Times New Roman"/>
        </w:rPr>
        <w:t xml:space="preserve">cally for </w:t>
      </w:r>
      <w:r w:rsidR="009516A3">
        <w:rPr>
          <w:rFonts w:ascii="Times New Roman" w:hAnsi="Times New Roman" w:cs="Times New Roman"/>
        </w:rPr>
        <w:t>EMFs</w:t>
      </w:r>
      <w:r w:rsidR="00A255A9">
        <w:rPr>
          <w:rFonts w:ascii="Times New Roman" w:hAnsi="Times New Roman" w:cs="Times New Roman"/>
        </w:rPr>
        <w:t xml:space="preserve"> will </w:t>
      </w:r>
      <w:r w:rsidRPr="007475B5">
        <w:rPr>
          <w:rFonts w:ascii="Times New Roman" w:hAnsi="Times New Roman" w:cs="Times New Roman"/>
        </w:rPr>
        <w:t>have limited impact as many employers</w:t>
      </w:r>
      <w:r w:rsidR="00B64C7B">
        <w:rPr>
          <w:rFonts w:ascii="Times New Roman" w:hAnsi="Times New Roman" w:cs="Times New Roman"/>
        </w:rPr>
        <w:t xml:space="preserve"> in the telecommunications, power and healthcare</w:t>
      </w:r>
      <w:r w:rsidRPr="007475B5">
        <w:rPr>
          <w:rFonts w:ascii="Times New Roman" w:hAnsi="Times New Roman" w:cs="Times New Roman"/>
        </w:rPr>
        <w:t xml:space="preserve"> will already include </w:t>
      </w:r>
      <w:r w:rsidR="00B64C7B">
        <w:rPr>
          <w:rFonts w:ascii="Times New Roman" w:hAnsi="Times New Roman" w:cs="Times New Roman"/>
        </w:rPr>
        <w:t xml:space="preserve">it </w:t>
      </w:r>
      <w:r w:rsidRPr="007475B5">
        <w:rPr>
          <w:rFonts w:ascii="Times New Roman" w:hAnsi="Times New Roman" w:cs="Times New Roman"/>
        </w:rPr>
        <w:t>as a topic in their risk assessments</w:t>
      </w:r>
      <w:r w:rsidR="00DC1357">
        <w:rPr>
          <w:rFonts w:ascii="Times New Roman" w:hAnsi="Times New Roman" w:cs="Times New Roman"/>
        </w:rPr>
        <w:t>,</w:t>
      </w:r>
      <w:r w:rsidRPr="007475B5">
        <w:rPr>
          <w:rFonts w:ascii="Times New Roman" w:hAnsi="Times New Roman" w:cs="Times New Roman"/>
        </w:rPr>
        <w:t xml:space="preserve"> given the importance of the hazard in the</w:t>
      </w:r>
      <w:r w:rsidR="00B64C7B">
        <w:rPr>
          <w:rFonts w:ascii="Times New Roman" w:hAnsi="Times New Roman" w:cs="Times New Roman"/>
        </w:rPr>
        <w:t>se</w:t>
      </w:r>
      <w:r w:rsidRPr="007475B5">
        <w:rPr>
          <w:rFonts w:ascii="Times New Roman" w:hAnsi="Times New Roman" w:cs="Times New Roman"/>
        </w:rPr>
        <w:t xml:space="preserve"> sector</w:t>
      </w:r>
      <w:r w:rsidR="00B64C7B">
        <w:rPr>
          <w:rFonts w:ascii="Times New Roman" w:hAnsi="Times New Roman" w:cs="Times New Roman"/>
        </w:rPr>
        <w:t>s</w:t>
      </w:r>
      <w:r w:rsidRPr="007475B5">
        <w:rPr>
          <w:rFonts w:ascii="Times New Roman" w:hAnsi="Times New Roman" w:cs="Times New Roman"/>
        </w:rPr>
        <w:t xml:space="preserve">.  </w:t>
      </w:r>
      <w:r w:rsidR="00B64C7B">
        <w:rPr>
          <w:rFonts w:ascii="Times New Roman" w:hAnsi="Times New Roman" w:cs="Times New Roman"/>
        </w:rPr>
        <w:t xml:space="preserve">These </w:t>
      </w:r>
      <w:r w:rsidR="00893CB4" w:rsidRPr="007475B5">
        <w:rPr>
          <w:rFonts w:ascii="Times New Roman" w:hAnsi="Times New Roman" w:cs="Times New Roman"/>
        </w:rPr>
        <w:t>employers have an existing and on</w:t>
      </w:r>
      <w:r w:rsidR="00D627D0">
        <w:rPr>
          <w:rFonts w:ascii="Times New Roman" w:hAnsi="Times New Roman" w:cs="Times New Roman"/>
        </w:rPr>
        <w:t>-</w:t>
      </w:r>
      <w:r w:rsidR="00893CB4" w:rsidRPr="007475B5">
        <w:rPr>
          <w:rFonts w:ascii="Times New Roman" w:hAnsi="Times New Roman" w:cs="Times New Roman"/>
        </w:rPr>
        <w:t xml:space="preserve">going process of preparing risk assessments. This includes assessing the risk to employees of harmful exposures to </w:t>
      </w:r>
      <w:r w:rsidR="00B64C7B">
        <w:rPr>
          <w:rFonts w:ascii="Times New Roman" w:hAnsi="Times New Roman" w:cs="Times New Roman"/>
        </w:rPr>
        <w:t>electromagnetic fields</w:t>
      </w:r>
      <w:r w:rsidR="00893CB4" w:rsidRPr="007475B5">
        <w:rPr>
          <w:rFonts w:ascii="Times New Roman" w:hAnsi="Times New Roman" w:cs="Times New Roman"/>
        </w:rPr>
        <w:t xml:space="preserve">.  </w:t>
      </w:r>
      <w:r w:rsidRPr="007475B5">
        <w:rPr>
          <w:rFonts w:ascii="Times New Roman" w:hAnsi="Times New Roman" w:cs="Times New Roman"/>
        </w:rPr>
        <w:t xml:space="preserve">At most, the new obligation will involve the inclusion of </w:t>
      </w:r>
      <w:r w:rsidR="00094E7B" w:rsidRPr="007475B5">
        <w:rPr>
          <w:rFonts w:ascii="Times New Roman" w:hAnsi="Times New Roman" w:cs="Times New Roman"/>
        </w:rPr>
        <w:t>this</w:t>
      </w:r>
      <w:r w:rsidRPr="007475B5">
        <w:rPr>
          <w:rFonts w:ascii="Times New Roman" w:hAnsi="Times New Roman" w:cs="Times New Roman"/>
        </w:rPr>
        <w:t xml:space="preserve"> topic in the existing and on</w:t>
      </w:r>
      <w:r w:rsidR="00D627D0">
        <w:rPr>
          <w:rFonts w:ascii="Times New Roman" w:hAnsi="Times New Roman" w:cs="Times New Roman"/>
        </w:rPr>
        <w:t>-</w:t>
      </w:r>
      <w:r w:rsidRPr="007475B5">
        <w:rPr>
          <w:rFonts w:ascii="Times New Roman" w:hAnsi="Times New Roman" w:cs="Times New Roman"/>
        </w:rPr>
        <w:t xml:space="preserve">going process of preparing the risk assessment.  </w:t>
      </w:r>
    </w:p>
    <w:p w14:paraId="68DA7A2E" w14:textId="12803AA5" w:rsidR="0098215E" w:rsidRPr="007475B5" w:rsidRDefault="0098215E" w:rsidP="00565916">
      <w:pPr>
        <w:spacing w:line="360" w:lineRule="auto"/>
        <w:jc w:val="both"/>
        <w:rPr>
          <w:rFonts w:ascii="Times New Roman" w:hAnsi="Times New Roman" w:cs="Times New Roman"/>
        </w:rPr>
      </w:pPr>
      <w:r>
        <w:rPr>
          <w:rFonts w:ascii="Times New Roman" w:hAnsi="Times New Roman" w:cs="Times New Roman"/>
        </w:rPr>
        <w:t xml:space="preserve">However it will impose a new obligation for small enterprises in electric welding, induction heating and RF sealing where typically a small number of </w:t>
      </w:r>
      <w:r w:rsidR="00E851F3">
        <w:rPr>
          <w:rFonts w:ascii="Times New Roman" w:hAnsi="Times New Roman" w:cs="Times New Roman"/>
        </w:rPr>
        <w:t>employees</w:t>
      </w:r>
      <w:r>
        <w:rPr>
          <w:rFonts w:ascii="Times New Roman" w:hAnsi="Times New Roman" w:cs="Times New Roman"/>
        </w:rPr>
        <w:t xml:space="preserve"> are employed per </w:t>
      </w:r>
      <w:r w:rsidR="00E851F3">
        <w:rPr>
          <w:rFonts w:ascii="Times New Roman" w:hAnsi="Times New Roman" w:cs="Times New Roman"/>
        </w:rPr>
        <w:t>establishment</w:t>
      </w:r>
      <w:r>
        <w:rPr>
          <w:rFonts w:ascii="Times New Roman" w:hAnsi="Times New Roman" w:cs="Times New Roman"/>
        </w:rPr>
        <w:t>. It is likely these companies will seek external expertise to carry out the risk assessm</w:t>
      </w:r>
      <w:r w:rsidR="008255B5">
        <w:rPr>
          <w:rFonts w:ascii="Times New Roman" w:hAnsi="Times New Roman" w:cs="Times New Roman"/>
        </w:rPr>
        <w:t>e</w:t>
      </w:r>
      <w:r>
        <w:rPr>
          <w:rFonts w:ascii="Times New Roman" w:hAnsi="Times New Roman" w:cs="Times New Roman"/>
        </w:rPr>
        <w:t>nt and any measurements necessary. Additi</w:t>
      </w:r>
      <w:r w:rsidR="008255B5">
        <w:rPr>
          <w:rFonts w:ascii="Times New Roman" w:hAnsi="Times New Roman" w:cs="Times New Roman"/>
        </w:rPr>
        <w:t>o</w:t>
      </w:r>
      <w:r>
        <w:rPr>
          <w:rFonts w:ascii="Times New Roman" w:hAnsi="Times New Roman" w:cs="Times New Roman"/>
        </w:rPr>
        <w:t>n</w:t>
      </w:r>
      <w:r w:rsidR="008255B5">
        <w:rPr>
          <w:rFonts w:ascii="Times New Roman" w:hAnsi="Times New Roman" w:cs="Times New Roman"/>
        </w:rPr>
        <w:t>a</w:t>
      </w:r>
      <w:r>
        <w:rPr>
          <w:rFonts w:ascii="Times New Roman" w:hAnsi="Times New Roman" w:cs="Times New Roman"/>
        </w:rPr>
        <w:t xml:space="preserve">l cost included is training up of an employee </w:t>
      </w:r>
      <w:r w:rsidR="003C0E16">
        <w:rPr>
          <w:rFonts w:ascii="Times New Roman" w:hAnsi="Times New Roman" w:cs="Times New Roman"/>
        </w:rPr>
        <w:t xml:space="preserve">in order to be competent at understanding the requirements. </w:t>
      </w:r>
      <w:r>
        <w:rPr>
          <w:rFonts w:ascii="Times New Roman" w:hAnsi="Times New Roman" w:cs="Times New Roman"/>
        </w:rPr>
        <w:t xml:space="preserve"> </w:t>
      </w:r>
    </w:p>
    <w:p w14:paraId="6D02B7B3" w14:textId="36898F49" w:rsidR="0074742A" w:rsidRPr="00691181" w:rsidRDefault="00B4272A" w:rsidP="00565916">
      <w:pPr>
        <w:spacing w:line="360" w:lineRule="auto"/>
        <w:jc w:val="both"/>
        <w:rPr>
          <w:rFonts w:ascii="Times New Roman" w:hAnsi="Times New Roman" w:cs="Times New Roman"/>
          <w:color w:val="FF0000"/>
        </w:rPr>
      </w:pPr>
      <w:r w:rsidRPr="007475B5">
        <w:rPr>
          <w:rFonts w:ascii="Times New Roman" w:hAnsi="Times New Roman" w:cs="Times New Roman"/>
        </w:rPr>
        <w:t xml:space="preserve">In terms of new equipment it is </w:t>
      </w:r>
      <w:r w:rsidR="00893CB4" w:rsidRPr="007475B5">
        <w:rPr>
          <w:rFonts w:ascii="Times New Roman" w:hAnsi="Times New Roman" w:cs="Times New Roman"/>
        </w:rPr>
        <w:t xml:space="preserve">usual </w:t>
      </w:r>
      <w:r w:rsidRPr="007475B5">
        <w:rPr>
          <w:rFonts w:ascii="Times New Roman" w:hAnsi="Times New Roman" w:cs="Times New Roman"/>
        </w:rPr>
        <w:t xml:space="preserve">for training and information to be provided to </w:t>
      </w:r>
      <w:r w:rsidR="00BC441B">
        <w:rPr>
          <w:rFonts w:ascii="Times New Roman" w:hAnsi="Times New Roman" w:cs="Times New Roman"/>
        </w:rPr>
        <w:t xml:space="preserve">employees </w:t>
      </w:r>
      <w:r w:rsidR="00591790" w:rsidRPr="007475B5">
        <w:rPr>
          <w:rFonts w:ascii="Times New Roman" w:hAnsi="Times New Roman" w:cs="Times New Roman"/>
        </w:rPr>
        <w:t xml:space="preserve">by suppliers </w:t>
      </w:r>
      <w:r w:rsidRPr="007475B5">
        <w:rPr>
          <w:rFonts w:ascii="Times New Roman" w:hAnsi="Times New Roman" w:cs="Times New Roman"/>
        </w:rPr>
        <w:t>as part of the package when purchasing new equipment; the employer will be</w:t>
      </w:r>
      <w:r w:rsidR="00893CB4" w:rsidRPr="007475B5">
        <w:rPr>
          <w:rFonts w:ascii="Times New Roman" w:hAnsi="Times New Roman" w:cs="Times New Roman"/>
        </w:rPr>
        <w:t xml:space="preserve"> required to</w:t>
      </w:r>
      <w:r w:rsidR="0077056E" w:rsidRPr="007475B5">
        <w:rPr>
          <w:rFonts w:ascii="Times New Roman" w:hAnsi="Times New Roman" w:cs="Times New Roman"/>
        </w:rPr>
        <w:t xml:space="preserve"> supplement</w:t>
      </w:r>
      <w:r w:rsidR="00893CB4" w:rsidRPr="007475B5">
        <w:rPr>
          <w:rFonts w:ascii="Times New Roman" w:hAnsi="Times New Roman" w:cs="Times New Roman"/>
        </w:rPr>
        <w:t xml:space="preserve"> this training</w:t>
      </w:r>
      <w:r w:rsidR="0077056E" w:rsidRPr="007475B5">
        <w:rPr>
          <w:rFonts w:ascii="Times New Roman" w:hAnsi="Times New Roman" w:cs="Times New Roman"/>
        </w:rPr>
        <w:t xml:space="preserve"> as required to ensure employee competency when using </w:t>
      </w:r>
      <w:r w:rsidR="00BC441B">
        <w:rPr>
          <w:rFonts w:ascii="Times New Roman" w:hAnsi="Times New Roman" w:cs="Times New Roman"/>
        </w:rPr>
        <w:t>new equipment</w:t>
      </w:r>
      <w:r w:rsidR="0077056E" w:rsidRPr="007475B5">
        <w:rPr>
          <w:rFonts w:ascii="Times New Roman" w:hAnsi="Times New Roman" w:cs="Times New Roman"/>
        </w:rPr>
        <w:t xml:space="preserve">. </w:t>
      </w:r>
      <w:r w:rsidRPr="007475B5">
        <w:rPr>
          <w:rFonts w:ascii="Times New Roman" w:hAnsi="Times New Roman" w:cs="Times New Roman"/>
        </w:rPr>
        <w:t xml:space="preserve"> </w:t>
      </w:r>
      <w:r w:rsidR="00893CB4" w:rsidRPr="007475B5">
        <w:rPr>
          <w:rFonts w:ascii="Times New Roman" w:hAnsi="Times New Roman" w:cs="Times New Roman"/>
        </w:rPr>
        <w:t>This is unlikely to incur additional costs to the employer</w:t>
      </w:r>
      <w:r w:rsidR="00834E2F">
        <w:rPr>
          <w:rFonts w:ascii="Times New Roman" w:hAnsi="Times New Roman" w:cs="Times New Roman"/>
          <w:color w:val="FF0000"/>
        </w:rPr>
        <w:t>.</w:t>
      </w:r>
    </w:p>
    <w:p w14:paraId="056D1B6B" w14:textId="7F31C8B8" w:rsidR="003C0E16" w:rsidRDefault="00387131" w:rsidP="00565916">
      <w:pPr>
        <w:spacing w:line="360" w:lineRule="auto"/>
        <w:jc w:val="both"/>
        <w:rPr>
          <w:rFonts w:ascii="Times New Roman" w:hAnsi="Times New Roman" w:cs="Times New Roman"/>
        </w:rPr>
      </w:pPr>
      <w:r w:rsidRPr="00412CD8">
        <w:rPr>
          <w:rFonts w:ascii="Times New Roman" w:hAnsi="Times New Roman" w:cs="Times New Roman"/>
          <w:b/>
        </w:rPr>
        <w:t>Enforcement costs:</w:t>
      </w:r>
      <w:r>
        <w:rPr>
          <w:rFonts w:ascii="Times New Roman" w:hAnsi="Times New Roman" w:cs="Times New Roman"/>
        </w:rPr>
        <w:t xml:space="preserve"> </w:t>
      </w:r>
      <w:r w:rsidR="003C0E16">
        <w:rPr>
          <w:rFonts w:ascii="Times New Roman" w:hAnsi="Times New Roman" w:cs="Times New Roman"/>
        </w:rPr>
        <w:t>The</w:t>
      </w:r>
      <w:r w:rsidR="00D85D1B">
        <w:rPr>
          <w:rFonts w:ascii="Times New Roman" w:hAnsi="Times New Roman" w:cs="Times New Roman"/>
        </w:rPr>
        <w:t xml:space="preserve">se are the </w:t>
      </w:r>
      <w:r w:rsidR="003C0E16">
        <w:rPr>
          <w:rFonts w:ascii="Times New Roman" w:hAnsi="Times New Roman" w:cs="Times New Roman"/>
        </w:rPr>
        <w:t>cost</w:t>
      </w:r>
      <w:r w:rsidR="00D85D1B">
        <w:rPr>
          <w:rFonts w:ascii="Times New Roman" w:hAnsi="Times New Roman" w:cs="Times New Roman"/>
        </w:rPr>
        <w:t xml:space="preserve">s for the </w:t>
      </w:r>
      <w:r w:rsidR="00E851F3">
        <w:rPr>
          <w:rFonts w:ascii="Times New Roman" w:hAnsi="Times New Roman" w:cs="Times New Roman"/>
        </w:rPr>
        <w:t>Authority associated</w:t>
      </w:r>
      <w:r w:rsidR="00D85D1B">
        <w:rPr>
          <w:rFonts w:ascii="Times New Roman" w:hAnsi="Times New Roman" w:cs="Times New Roman"/>
        </w:rPr>
        <w:t xml:space="preserve"> with the en</w:t>
      </w:r>
      <w:r w:rsidR="003C0E16">
        <w:rPr>
          <w:rFonts w:ascii="Times New Roman" w:hAnsi="Times New Roman" w:cs="Times New Roman"/>
        </w:rPr>
        <w:t>forcement of the proposed Regulations</w:t>
      </w:r>
      <w:r w:rsidR="00D85D1B">
        <w:rPr>
          <w:rFonts w:ascii="Times New Roman" w:hAnsi="Times New Roman" w:cs="Times New Roman"/>
        </w:rPr>
        <w:t xml:space="preserve"> and provision of guidance </w:t>
      </w:r>
      <w:r w:rsidR="003C0E16">
        <w:rPr>
          <w:rFonts w:ascii="Times New Roman" w:hAnsi="Times New Roman" w:cs="Times New Roman"/>
        </w:rPr>
        <w:t>as follows;</w:t>
      </w:r>
    </w:p>
    <w:p w14:paraId="2948DFDD" w14:textId="5398C156" w:rsidR="003C0E16" w:rsidRDefault="003C0E16" w:rsidP="00565916">
      <w:pPr>
        <w:pStyle w:val="ListParagraph"/>
        <w:numPr>
          <w:ilvl w:val="0"/>
          <w:numId w:val="19"/>
        </w:numPr>
        <w:spacing w:line="360" w:lineRule="auto"/>
        <w:jc w:val="both"/>
        <w:rPr>
          <w:rFonts w:ascii="Times New Roman" w:hAnsi="Times New Roman"/>
        </w:rPr>
      </w:pPr>
      <w:r>
        <w:rPr>
          <w:rFonts w:ascii="Times New Roman" w:hAnsi="Times New Roman"/>
        </w:rPr>
        <w:t xml:space="preserve">A number of inspectors will have to be trained up in order to be able to carry out EMF inspections in a competent manner. If a similar approach is adopted as for other physical agents such as noise and </w:t>
      </w:r>
      <w:r w:rsidR="00E851F3">
        <w:rPr>
          <w:rFonts w:ascii="Times New Roman" w:hAnsi="Times New Roman"/>
        </w:rPr>
        <w:t>vibration</w:t>
      </w:r>
      <w:r>
        <w:rPr>
          <w:rFonts w:ascii="Times New Roman" w:hAnsi="Times New Roman"/>
        </w:rPr>
        <w:t xml:space="preserve"> this will be limited to occupational hygiene inspectors</w:t>
      </w:r>
      <w:r w:rsidR="008255B5">
        <w:rPr>
          <w:rFonts w:ascii="Times New Roman" w:hAnsi="Times New Roman"/>
        </w:rPr>
        <w:t>.</w:t>
      </w:r>
    </w:p>
    <w:p w14:paraId="65BC68CE" w14:textId="694200F5" w:rsidR="003C0E16" w:rsidRDefault="003C0E16" w:rsidP="00565916">
      <w:pPr>
        <w:pStyle w:val="ListParagraph"/>
        <w:numPr>
          <w:ilvl w:val="0"/>
          <w:numId w:val="19"/>
        </w:numPr>
        <w:spacing w:line="360" w:lineRule="auto"/>
        <w:jc w:val="both"/>
        <w:rPr>
          <w:rFonts w:ascii="Times New Roman" w:hAnsi="Times New Roman"/>
        </w:rPr>
      </w:pPr>
      <w:r>
        <w:rPr>
          <w:rFonts w:ascii="Times New Roman" w:hAnsi="Times New Roman"/>
        </w:rPr>
        <w:t xml:space="preserve">Some measuring equipment will have to be purchased and calibrated on an ongoing basis. </w:t>
      </w:r>
      <w:r w:rsidR="00E851F3">
        <w:rPr>
          <w:rFonts w:ascii="Times New Roman" w:hAnsi="Times New Roman"/>
        </w:rPr>
        <w:t>Equipment costs are</w:t>
      </w:r>
      <w:r w:rsidR="00BC3163">
        <w:rPr>
          <w:rFonts w:ascii="Times New Roman" w:hAnsi="Times New Roman"/>
        </w:rPr>
        <w:t xml:space="preserve"> </w:t>
      </w:r>
      <w:r w:rsidR="006A3DC5">
        <w:rPr>
          <w:rFonts w:ascii="Times New Roman" w:hAnsi="Times New Roman"/>
        </w:rPr>
        <w:t xml:space="preserve">estimated </w:t>
      </w:r>
      <w:r w:rsidR="00BC3163">
        <w:rPr>
          <w:rFonts w:ascii="Times New Roman" w:hAnsi="Times New Roman"/>
        </w:rPr>
        <w:t>to be €10k and ongoing calibration €2k annually.</w:t>
      </w:r>
    </w:p>
    <w:p w14:paraId="5C0FB741" w14:textId="67A9551F" w:rsidR="008255B5" w:rsidRPr="009F637A" w:rsidRDefault="003C0E16" w:rsidP="00565916">
      <w:pPr>
        <w:pStyle w:val="ListParagraph"/>
        <w:numPr>
          <w:ilvl w:val="0"/>
          <w:numId w:val="19"/>
        </w:numPr>
        <w:spacing w:line="360" w:lineRule="auto"/>
        <w:jc w:val="both"/>
        <w:rPr>
          <w:rFonts w:ascii="Times New Roman" w:hAnsi="Times New Roman"/>
        </w:rPr>
      </w:pPr>
      <w:r w:rsidRPr="009F637A">
        <w:rPr>
          <w:rFonts w:ascii="Times New Roman" w:hAnsi="Times New Roman"/>
        </w:rPr>
        <w:t xml:space="preserve">The Authority will </w:t>
      </w:r>
      <w:r w:rsidR="00BC3163" w:rsidRPr="009F637A">
        <w:rPr>
          <w:rFonts w:ascii="Times New Roman" w:hAnsi="Times New Roman"/>
        </w:rPr>
        <w:t xml:space="preserve">make available free </w:t>
      </w:r>
      <w:r w:rsidR="00D85D1B" w:rsidRPr="009F637A">
        <w:rPr>
          <w:rFonts w:ascii="Times New Roman" w:hAnsi="Times New Roman"/>
        </w:rPr>
        <w:t>on its website</w:t>
      </w:r>
      <w:r w:rsidR="00BC3163" w:rsidRPr="009F637A">
        <w:rPr>
          <w:rFonts w:ascii="Times New Roman" w:hAnsi="Times New Roman"/>
        </w:rPr>
        <w:t xml:space="preserve"> the </w:t>
      </w:r>
      <w:r w:rsidR="00412CD8" w:rsidRPr="009F637A">
        <w:rPr>
          <w:rFonts w:ascii="Times New Roman" w:hAnsi="Times New Roman"/>
        </w:rPr>
        <w:t xml:space="preserve">guidance document </w:t>
      </w:r>
      <w:r w:rsidR="00BC3163" w:rsidRPr="009F637A">
        <w:rPr>
          <w:rFonts w:ascii="Times New Roman" w:hAnsi="Times New Roman"/>
        </w:rPr>
        <w:t xml:space="preserve">prepared by the EU Commission </w:t>
      </w:r>
      <w:r w:rsidR="00412CD8" w:rsidRPr="009F637A">
        <w:rPr>
          <w:rFonts w:ascii="Times New Roman" w:hAnsi="Times New Roman"/>
        </w:rPr>
        <w:t xml:space="preserve">to support the new Regulations. </w:t>
      </w:r>
      <w:bookmarkStart w:id="5" w:name="_Toc285459474"/>
    </w:p>
    <w:p w14:paraId="1740293B" w14:textId="77777777" w:rsidR="00691181" w:rsidRPr="00691181" w:rsidRDefault="00D57E05" w:rsidP="00565916">
      <w:pPr>
        <w:pStyle w:val="Heading1"/>
        <w:numPr>
          <w:ilvl w:val="0"/>
          <w:numId w:val="7"/>
        </w:numPr>
        <w:spacing w:line="360" w:lineRule="auto"/>
        <w:ind w:hanging="720"/>
        <w:jc w:val="both"/>
        <w:rPr>
          <w:rFonts w:ascii="Times New Roman" w:hAnsi="Times New Roman" w:cs="Times New Roman"/>
        </w:rPr>
      </w:pPr>
      <w:bookmarkStart w:id="6" w:name="_Toc306957872"/>
      <w:r w:rsidRPr="00BB39EA">
        <w:rPr>
          <w:rFonts w:ascii="Times New Roman" w:hAnsi="Times New Roman" w:cs="Times New Roman"/>
        </w:rPr>
        <w:t>Consultation</w:t>
      </w:r>
      <w:bookmarkEnd w:id="5"/>
      <w:bookmarkEnd w:id="6"/>
      <w:r w:rsidRPr="00BB39EA">
        <w:rPr>
          <w:rFonts w:ascii="Times New Roman" w:hAnsi="Times New Roman" w:cs="Times New Roman"/>
        </w:rPr>
        <w:t xml:space="preserve"> </w:t>
      </w:r>
    </w:p>
    <w:p w14:paraId="137A69EB" w14:textId="019F011F" w:rsidR="00837B5E" w:rsidRPr="00837B5E" w:rsidRDefault="00D57E05" w:rsidP="00565916">
      <w:pPr>
        <w:spacing w:after="0" w:line="360" w:lineRule="auto"/>
        <w:jc w:val="both"/>
        <w:rPr>
          <w:rFonts w:ascii="Times New Roman" w:hAnsi="Times New Roman" w:cs="Times New Roman"/>
        </w:rPr>
      </w:pPr>
      <w:r>
        <w:rPr>
          <w:rFonts w:ascii="Times New Roman" w:hAnsi="Times New Roman"/>
        </w:rPr>
        <w:t xml:space="preserve">The proposed Regulations and </w:t>
      </w:r>
      <w:r w:rsidR="000931A9" w:rsidRPr="00837B5E">
        <w:rPr>
          <w:rFonts w:ascii="Times New Roman" w:hAnsi="Times New Roman" w:cs="Times New Roman"/>
        </w:rPr>
        <w:t xml:space="preserve">a draft RIA </w:t>
      </w:r>
      <w:r w:rsidR="0054517D">
        <w:rPr>
          <w:rFonts w:ascii="Times New Roman" w:hAnsi="Times New Roman" w:cs="Times New Roman"/>
        </w:rPr>
        <w:t xml:space="preserve">will be </w:t>
      </w:r>
      <w:r w:rsidR="000931A9" w:rsidRPr="00837B5E">
        <w:rPr>
          <w:rFonts w:ascii="Times New Roman" w:hAnsi="Times New Roman" w:cs="Times New Roman"/>
        </w:rPr>
        <w:t xml:space="preserve">made available on the Authority’s website for a period of </w:t>
      </w:r>
      <w:r w:rsidR="00BC441B">
        <w:rPr>
          <w:rFonts w:ascii="Times New Roman" w:hAnsi="Times New Roman" w:cs="Times New Roman"/>
        </w:rPr>
        <w:t xml:space="preserve">1 month </w:t>
      </w:r>
      <w:r w:rsidR="007638D9">
        <w:rPr>
          <w:rFonts w:ascii="Times New Roman" w:hAnsi="Times New Roman" w:cs="Times New Roman"/>
        </w:rPr>
        <w:t xml:space="preserve">in </w:t>
      </w:r>
      <w:r w:rsidR="006A3DC5">
        <w:rPr>
          <w:rFonts w:ascii="Times New Roman" w:hAnsi="Times New Roman" w:cs="Times New Roman"/>
        </w:rPr>
        <w:t xml:space="preserve">June/July </w:t>
      </w:r>
      <w:r w:rsidR="00BC441B">
        <w:rPr>
          <w:rFonts w:ascii="Times New Roman" w:hAnsi="Times New Roman" w:cs="Times New Roman"/>
        </w:rPr>
        <w:t>2015</w:t>
      </w:r>
      <w:r w:rsidR="000931A9" w:rsidRPr="00837B5E">
        <w:rPr>
          <w:rFonts w:ascii="Times New Roman" w:hAnsi="Times New Roman" w:cs="Times New Roman"/>
        </w:rPr>
        <w:t xml:space="preserve">. Key stakeholders </w:t>
      </w:r>
      <w:r w:rsidR="0054517D">
        <w:rPr>
          <w:rFonts w:ascii="Times New Roman" w:hAnsi="Times New Roman" w:cs="Times New Roman"/>
        </w:rPr>
        <w:t xml:space="preserve">will </w:t>
      </w:r>
      <w:r w:rsidR="007638D9">
        <w:rPr>
          <w:rFonts w:ascii="Times New Roman" w:hAnsi="Times New Roman" w:cs="Times New Roman"/>
        </w:rPr>
        <w:t xml:space="preserve">also </w:t>
      </w:r>
      <w:r w:rsidR="0054517D">
        <w:rPr>
          <w:rFonts w:ascii="Times New Roman" w:hAnsi="Times New Roman" w:cs="Times New Roman"/>
        </w:rPr>
        <w:t xml:space="preserve">be </w:t>
      </w:r>
      <w:r w:rsidR="00D85D1B">
        <w:rPr>
          <w:rFonts w:ascii="Times New Roman" w:hAnsi="Times New Roman" w:cs="Times New Roman"/>
        </w:rPr>
        <w:t xml:space="preserve">consulted </w:t>
      </w:r>
      <w:r w:rsidR="000931A9" w:rsidRPr="00837B5E">
        <w:rPr>
          <w:rFonts w:ascii="Times New Roman" w:hAnsi="Times New Roman" w:cs="Times New Roman"/>
        </w:rPr>
        <w:t>directly</w:t>
      </w:r>
      <w:r w:rsidR="00C3454F">
        <w:rPr>
          <w:rFonts w:ascii="Times New Roman" w:hAnsi="Times New Roman" w:cs="Times New Roman"/>
        </w:rPr>
        <w:t>,</w:t>
      </w:r>
      <w:r w:rsidR="00B103D4">
        <w:rPr>
          <w:rFonts w:ascii="Times New Roman" w:hAnsi="Times New Roman" w:cs="Times New Roman"/>
        </w:rPr>
        <w:t xml:space="preserve"> </w:t>
      </w:r>
      <w:r w:rsidR="0054517D">
        <w:rPr>
          <w:rFonts w:ascii="Times New Roman" w:hAnsi="Times New Roman" w:cs="Times New Roman"/>
        </w:rPr>
        <w:t>includ</w:t>
      </w:r>
      <w:r w:rsidR="00B103D4">
        <w:rPr>
          <w:rFonts w:ascii="Times New Roman" w:hAnsi="Times New Roman" w:cs="Times New Roman"/>
        </w:rPr>
        <w:t>ing</w:t>
      </w:r>
      <w:r w:rsidR="0054517D">
        <w:rPr>
          <w:rFonts w:ascii="Times New Roman" w:hAnsi="Times New Roman" w:cs="Times New Roman"/>
        </w:rPr>
        <w:t xml:space="preserve"> the following:</w:t>
      </w:r>
    </w:p>
    <w:p w14:paraId="5A3E19A9" w14:textId="77777777" w:rsidR="00837B5E" w:rsidRPr="00691181" w:rsidRDefault="00837B5E" w:rsidP="00565916">
      <w:pPr>
        <w:pStyle w:val="ListParagraph"/>
        <w:numPr>
          <w:ilvl w:val="0"/>
          <w:numId w:val="11"/>
        </w:numPr>
        <w:spacing w:after="0"/>
        <w:jc w:val="both"/>
        <w:rPr>
          <w:rFonts w:ascii="Times New Roman" w:hAnsi="Times New Roman"/>
        </w:rPr>
      </w:pPr>
      <w:r w:rsidRPr="00691181">
        <w:rPr>
          <w:rFonts w:ascii="Times New Roman" w:hAnsi="Times New Roman"/>
        </w:rPr>
        <w:t>Dep</w:t>
      </w:r>
      <w:r w:rsidR="00D570F6">
        <w:rPr>
          <w:rFonts w:ascii="Times New Roman" w:hAnsi="Times New Roman"/>
        </w:rPr>
        <w:t>ar</w:t>
      </w:r>
      <w:r w:rsidRPr="00691181">
        <w:rPr>
          <w:rFonts w:ascii="Times New Roman" w:hAnsi="Times New Roman"/>
        </w:rPr>
        <w:t>t</w:t>
      </w:r>
      <w:r w:rsidR="00D570F6">
        <w:rPr>
          <w:rFonts w:ascii="Times New Roman" w:hAnsi="Times New Roman"/>
        </w:rPr>
        <w:t>ment</w:t>
      </w:r>
      <w:r w:rsidRPr="00691181">
        <w:rPr>
          <w:rFonts w:ascii="Times New Roman" w:hAnsi="Times New Roman"/>
        </w:rPr>
        <w:t xml:space="preserve"> of Jobs, Enterprise and Innovation</w:t>
      </w:r>
    </w:p>
    <w:p w14:paraId="1B6B5891" w14:textId="4B817A71" w:rsidR="00837B5E" w:rsidRDefault="00837B5E" w:rsidP="00565916">
      <w:pPr>
        <w:pStyle w:val="ListParagraph"/>
        <w:numPr>
          <w:ilvl w:val="0"/>
          <w:numId w:val="11"/>
        </w:numPr>
        <w:spacing w:after="0"/>
        <w:jc w:val="both"/>
        <w:rPr>
          <w:rFonts w:ascii="Times New Roman" w:hAnsi="Times New Roman"/>
        </w:rPr>
      </w:pPr>
      <w:r w:rsidRPr="00691181">
        <w:rPr>
          <w:rFonts w:ascii="Times New Roman" w:hAnsi="Times New Roman"/>
        </w:rPr>
        <w:lastRenderedPageBreak/>
        <w:t xml:space="preserve">Department of </w:t>
      </w:r>
      <w:r w:rsidR="007C7761">
        <w:rPr>
          <w:rFonts w:ascii="Times New Roman" w:hAnsi="Times New Roman"/>
        </w:rPr>
        <w:t>Energy, C</w:t>
      </w:r>
      <w:r w:rsidR="00BC441B">
        <w:rPr>
          <w:rFonts w:ascii="Times New Roman" w:hAnsi="Times New Roman"/>
        </w:rPr>
        <w:t>ommunications</w:t>
      </w:r>
      <w:r w:rsidR="007C7761">
        <w:rPr>
          <w:rFonts w:ascii="Times New Roman" w:hAnsi="Times New Roman"/>
        </w:rPr>
        <w:t xml:space="preserve"> and </w:t>
      </w:r>
      <w:r w:rsidR="00D85D1B">
        <w:rPr>
          <w:rFonts w:ascii="Times New Roman" w:hAnsi="Times New Roman"/>
        </w:rPr>
        <w:t>N</w:t>
      </w:r>
      <w:r w:rsidR="007C7761">
        <w:rPr>
          <w:rFonts w:ascii="Times New Roman" w:hAnsi="Times New Roman"/>
        </w:rPr>
        <w:t>atural Resources</w:t>
      </w:r>
      <w:r w:rsidRPr="00691181">
        <w:rPr>
          <w:rFonts w:ascii="Times New Roman" w:hAnsi="Times New Roman"/>
        </w:rPr>
        <w:t xml:space="preserve"> </w:t>
      </w:r>
    </w:p>
    <w:p w14:paraId="178B26EF" w14:textId="144D7DC5" w:rsidR="00BC3163" w:rsidRPr="00691181" w:rsidRDefault="00BC3163" w:rsidP="00565916">
      <w:pPr>
        <w:pStyle w:val="ListParagraph"/>
        <w:numPr>
          <w:ilvl w:val="0"/>
          <w:numId w:val="11"/>
        </w:numPr>
        <w:spacing w:after="0"/>
        <w:jc w:val="both"/>
        <w:rPr>
          <w:rFonts w:ascii="Times New Roman" w:hAnsi="Times New Roman"/>
        </w:rPr>
      </w:pPr>
      <w:r>
        <w:rPr>
          <w:rFonts w:ascii="Times New Roman" w:hAnsi="Times New Roman"/>
        </w:rPr>
        <w:t xml:space="preserve">Members of Electro Technical Council of Ireland (ETCI), Technical Committee (TC15), Human Exposure to Electromagnetic Fields </w:t>
      </w:r>
    </w:p>
    <w:p w14:paraId="33B113E2" w14:textId="2B5495BA" w:rsidR="00BC441B" w:rsidRDefault="00BC441B" w:rsidP="00565916">
      <w:pPr>
        <w:pStyle w:val="ListParagraph"/>
        <w:numPr>
          <w:ilvl w:val="0"/>
          <w:numId w:val="11"/>
        </w:numPr>
        <w:spacing w:after="0"/>
        <w:jc w:val="both"/>
        <w:rPr>
          <w:rFonts w:ascii="Times New Roman" w:hAnsi="Times New Roman"/>
        </w:rPr>
      </w:pPr>
      <w:r>
        <w:rPr>
          <w:rFonts w:ascii="Times New Roman" w:hAnsi="Times New Roman"/>
        </w:rPr>
        <w:t>ESB</w:t>
      </w:r>
    </w:p>
    <w:p w14:paraId="003162EF" w14:textId="232D9552" w:rsidR="00837B5E" w:rsidRDefault="00BC441B" w:rsidP="00565916">
      <w:pPr>
        <w:pStyle w:val="ListParagraph"/>
        <w:numPr>
          <w:ilvl w:val="0"/>
          <w:numId w:val="11"/>
        </w:numPr>
        <w:spacing w:after="0"/>
        <w:jc w:val="both"/>
        <w:rPr>
          <w:rFonts w:ascii="Times New Roman" w:hAnsi="Times New Roman"/>
        </w:rPr>
      </w:pPr>
      <w:r>
        <w:rPr>
          <w:rFonts w:ascii="Times New Roman" w:hAnsi="Times New Roman"/>
        </w:rPr>
        <w:t>RTE</w:t>
      </w:r>
    </w:p>
    <w:p w14:paraId="01693F36" w14:textId="54D203D3" w:rsidR="00BC441B" w:rsidRDefault="00BC441B" w:rsidP="00565916">
      <w:pPr>
        <w:pStyle w:val="ListParagraph"/>
        <w:numPr>
          <w:ilvl w:val="0"/>
          <w:numId w:val="11"/>
        </w:numPr>
        <w:spacing w:after="0"/>
        <w:jc w:val="both"/>
        <w:rPr>
          <w:rFonts w:ascii="Times New Roman" w:hAnsi="Times New Roman"/>
        </w:rPr>
      </w:pPr>
      <w:r>
        <w:rPr>
          <w:rFonts w:ascii="Times New Roman" w:hAnsi="Times New Roman"/>
        </w:rPr>
        <w:t>Eircom</w:t>
      </w:r>
    </w:p>
    <w:p w14:paraId="17E9AB25" w14:textId="45AF7E56" w:rsidR="00BC441B" w:rsidRPr="00B103D4" w:rsidRDefault="00B103D4" w:rsidP="00565916">
      <w:pPr>
        <w:pStyle w:val="ListParagraph"/>
        <w:numPr>
          <w:ilvl w:val="0"/>
          <w:numId w:val="11"/>
        </w:numPr>
        <w:spacing w:after="0"/>
        <w:jc w:val="both"/>
        <w:rPr>
          <w:rFonts w:ascii="Times New Roman" w:hAnsi="Times New Roman"/>
        </w:rPr>
      </w:pPr>
      <w:r w:rsidRPr="00B103D4">
        <w:rPr>
          <w:rFonts w:ascii="Times New Roman" w:hAnsi="Times New Roman"/>
        </w:rPr>
        <w:t>Mobile phone operator</w:t>
      </w:r>
      <w:r>
        <w:rPr>
          <w:rFonts w:ascii="Times New Roman" w:hAnsi="Times New Roman"/>
        </w:rPr>
        <w:t>s</w:t>
      </w:r>
    </w:p>
    <w:p w14:paraId="01AD1D68" w14:textId="4BB58E11" w:rsidR="00837B5E" w:rsidRDefault="00837B5E" w:rsidP="00565916">
      <w:pPr>
        <w:pStyle w:val="ListParagraph"/>
        <w:numPr>
          <w:ilvl w:val="0"/>
          <w:numId w:val="11"/>
        </w:numPr>
        <w:spacing w:after="0"/>
        <w:jc w:val="both"/>
        <w:rPr>
          <w:rFonts w:ascii="Times New Roman" w:hAnsi="Times New Roman"/>
        </w:rPr>
      </w:pPr>
      <w:r w:rsidRPr="00691181">
        <w:rPr>
          <w:rFonts w:ascii="Times New Roman" w:hAnsi="Times New Roman"/>
        </w:rPr>
        <w:t xml:space="preserve">Health </w:t>
      </w:r>
      <w:r w:rsidR="00BC441B">
        <w:rPr>
          <w:rFonts w:ascii="Times New Roman" w:hAnsi="Times New Roman"/>
        </w:rPr>
        <w:t>Services Executive (HSE)</w:t>
      </w:r>
      <w:r w:rsidRPr="00691181">
        <w:rPr>
          <w:rFonts w:ascii="Times New Roman" w:hAnsi="Times New Roman"/>
        </w:rPr>
        <w:t xml:space="preserve"> </w:t>
      </w:r>
    </w:p>
    <w:p w14:paraId="6700C521" w14:textId="7D37E2E4" w:rsidR="00BC441B" w:rsidRPr="00691181" w:rsidRDefault="00BC441B" w:rsidP="00565916">
      <w:pPr>
        <w:pStyle w:val="ListParagraph"/>
        <w:numPr>
          <w:ilvl w:val="0"/>
          <w:numId w:val="11"/>
        </w:numPr>
        <w:spacing w:after="0"/>
        <w:jc w:val="both"/>
        <w:rPr>
          <w:rFonts w:ascii="Times New Roman" w:hAnsi="Times New Roman"/>
        </w:rPr>
      </w:pPr>
      <w:r>
        <w:rPr>
          <w:rFonts w:ascii="Times New Roman" w:hAnsi="Times New Roman"/>
        </w:rPr>
        <w:t xml:space="preserve">Irish Business and </w:t>
      </w:r>
      <w:r w:rsidR="00E851F3">
        <w:rPr>
          <w:rFonts w:ascii="Times New Roman" w:hAnsi="Times New Roman"/>
        </w:rPr>
        <w:t>Employers’</w:t>
      </w:r>
      <w:r>
        <w:rPr>
          <w:rFonts w:ascii="Times New Roman" w:hAnsi="Times New Roman"/>
        </w:rPr>
        <w:t xml:space="preserve"> Confederation (IBEC) </w:t>
      </w:r>
    </w:p>
    <w:p w14:paraId="694DC332" w14:textId="247721CA" w:rsidR="00837B5E" w:rsidRDefault="00837B5E" w:rsidP="00565916">
      <w:pPr>
        <w:pStyle w:val="ListParagraph"/>
        <w:numPr>
          <w:ilvl w:val="0"/>
          <w:numId w:val="11"/>
        </w:numPr>
        <w:spacing w:after="0"/>
        <w:jc w:val="both"/>
        <w:rPr>
          <w:rFonts w:ascii="Times New Roman" w:hAnsi="Times New Roman"/>
        </w:rPr>
      </w:pPr>
      <w:r w:rsidRPr="00691181">
        <w:rPr>
          <w:rFonts w:ascii="Times New Roman" w:hAnsi="Times New Roman"/>
        </w:rPr>
        <w:t>Irish Congress of Trade Unions</w:t>
      </w:r>
      <w:r w:rsidR="00BC441B">
        <w:rPr>
          <w:rFonts w:ascii="Times New Roman" w:hAnsi="Times New Roman"/>
        </w:rPr>
        <w:t xml:space="preserve"> (ICTU)</w:t>
      </w:r>
    </w:p>
    <w:p w14:paraId="7E52096F" w14:textId="5736A929" w:rsidR="00BC441B" w:rsidRPr="00691181" w:rsidRDefault="00BC441B" w:rsidP="00565916">
      <w:pPr>
        <w:pStyle w:val="ListParagraph"/>
        <w:numPr>
          <w:ilvl w:val="0"/>
          <w:numId w:val="11"/>
        </w:numPr>
        <w:spacing w:after="0"/>
        <w:jc w:val="both"/>
        <w:rPr>
          <w:rFonts w:ascii="Times New Roman" w:hAnsi="Times New Roman"/>
        </w:rPr>
      </w:pPr>
      <w:r>
        <w:rPr>
          <w:rFonts w:ascii="Times New Roman" w:hAnsi="Times New Roman"/>
        </w:rPr>
        <w:t>Faculty of Occupational Medicine (FOM), RCPI</w:t>
      </w:r>
    </w:p>
    <w:p w14:paraId="67464804" w14:textId="465FEF04" w:rsidR="00837B5E" w:rsidRPr="00691181" w:rsidRDefault="00BC441B" w:rsidP="00565916">
      <w:pPr>
        <w:pStyle w:val="ListParagraph"/>
        <w:numPr>
          <w:ilvl w:val="0"/>
          <w:numId w:val="11"/>
        </w:numPr>
        <w:spacing w:after="0" w:line="240" w:lineRule="auto"/>
        <w:jc w:val="both"/>
        <w:rPr>
          <w:rFonts w:ascii="Times New Roman" w:eastAsiaTheme="minorEastAsia" w:hAnsi="Times New Roman" w:cstheme="minorBidi"/>
          <w:lang w:val="en-IE"/>
        </w:rPr>
      </w:pPr>
      <w:r>
        <w:rPr>
          <w:rFonts w:ascii="Times New Roman" w:hAnsi="Times New Roman"/>
        </w:rPr>
        <w:t xml:space="preserve">Occupational </w:t>
      </w:r>
      <w:r w:rsidR="00D85D1B">
        <w:rPr>
          <w:rFonts w:ascii="Times New Roman" w:hAnsi="Times New Roman"/>
        </w:rPr>
        <w:t>p</w:t>
      </w:r>
      <w:r>
        <w:rPr>
          <w:rFonts w:ascii="Times New Roman" w:hAnsi="Times New Roman"/>
        </w:rPr>
        <w:t>hysician</w:t>
      </w:r>
      <w:r w:rsidR="00BC3163">
        <w:rPr>
          <w:rFonts w:ascii="Times New Roman" w:hAnsi="Times New Roman"/>
        </w:rPr>
        <w:t>s</w:t>
      </w:r>
      <w:r>
        <w:rPr>
          <w:rFonts w:ascii="Times New Roman" w:hAnsi="Times New Roman"/>
        </w:rPr>
        <w:t xml:space="preserve"> </w:t>
      </w:r>
    </w:p>
    <w:p w14:paraId="0E45ACD4" w14:textId="5639A13E" w:rsidR="00837B5E" w:rsidRPr="00691181" w:rsidRDefault="0077408F" w:rsidP="00565916">
      <w:pPr>
        <w:pStyle w:val="ListParagraph"/>
        <w:numPr>
          <w:ilvl w:val="0"/>
          <w:numId w:val="11"/>
        </w:numPr>
        <w:spacing w:after="0"/>
        <w:jc w:val="both"/>
        <w:rPr>
          <w:rFonts w:ascii="Times New Roman" w:hAnsi="Times New Roman"/>
        </w:rPr>
      </w:pPr>
      <w:r>
        <w:rPr>
          <w:rFonts w:ascii="Times New Roman" w:hAnsi="Times New Roman"/>
        </w:rPr>
        <w:t xml:space="preserve">Medical </w:t>
      </w:r>
      <w:r w:rsidR="00D85D1B">
        <w:rPr>
          <w:rFonts w:ascii="Times New Roman" w:hAnsi="Times New Roman"/>
        </w:rPr>
        <w:t>p</w:t>
      </w:r>
      <w:r w:rsidR="0086568E">
        <w:rPr>
          <w:rFonts w:ascii="Times New Roman" w:hAnsi="Times New Roman"/>
        </w:rPr>
        <w:t>hysicist</w:t>
      </w:r>
      <w:r>
        <w:rPr>
          <w:rFonts w:ascii="Times New Roman" w:hAnsi="Times New Roman"/>
        </w:rPr>
        <w:t>s</w:t>
      </w:r>
    </w:p>
    <w:p w14:paraId="0E73A42E" w14:textId="727B541A" w:rsidR="00837B5E" w:rsidRDefault="0086568E" w:rsidP="00565916">
      <w:pPr>
        <w:pStyle w:val="ListParagraph"/>
        <w:numPr>
          <w:ilvl w:val="0"/>
          <w:numId w:val="11"/>
        </w:numPr>
        <w:spacing w:after="0"/>
        <w:jc w:val="both"/>
        <w:rPr>
          <w:rFonts w:ascii="Times New Roman" w:hAnsi="Times New Roman"/>
        </w:rPr>
      </w:pPr>
      <w:r w:rsidRPr="0086568E">
        <w:rPr>
          <w:rFonts w:ascii="Times New Roman" w:hAnsi="Times New Roman"/>
        </w:rPr>
        <w:t>Medical equipment suppliers</w:t>
      </w:r>
    </w:p>
    <w:p w14:paraId="00566DB3" w14:textId="77777777" w:rsidR="0086568E" w:rsidRPr="0086568E" w:rsidRDefault="0086568E" w:rsidP="00565916">
      <w:pPr>
        <w:spacing w:after="0"/>
        <w:jc w:val="both"/>
        <w:rPr>
          <w:rFonts w:ascii="Times New Roman" w:hAnsi="Times New Roman"/>
        </w:rPr>
      </w:pPr>
    </w:p>
    <w:p w14:paraId="05F6A5F6" w14:textId="336E1DEE" w:rsidR="00E41356" w:rsidRPr="00704500" w:rsidRDefault="000E62D2" w:rsidP="00565916">
      <w:pPr>
        <w:spacing w:after="0" w:line="360" w:lineRule="auto"/>
        <w:jc w:val="both"/>
        <w:rPr>
          <w:rFonts w:ascii="Times New Roman" w:hAnsi="Times New Roman" w:cs="Times New Roman"/>
        </w:rPr>
      </w:pPr>
      <w:r w:rsidRPr="00704500">
        <w:rPr>
          <w:rFonts w:ascii="Times New Roman" w:hAnsi="Times New Roman" w:cs="Times New Roman"/>
        </w:rPr>
        <w:t xml:space="preserve">The </w:t>
      </w:r>
      <w:r w:rsidR="00D240AC" w:rsidRPr="00704500">
        <w:rPr>
          <w:rFonts w:ascii="Times New Roman" w:hAnsi="Times New Roman" w:cs="Times New Roman"/>
        </w:rPr>
        <w:t>Legislation and Guidance Sub-</w:t>
      </w:r>
      <w:r w:rsidRPr="00704500">
        <w:rPr>
          <w:rFonts w:ascii="Times New Roman" w:hAnsi="Times New Roman" w:cs="Times New Roman"/>
        </w:rPr>
        <w:t xml:space="preserve">Committee of the Board </w:t>
      </w:r>
      <w:r w:rsidR="0054517D">
        <w:rPr>
          <w:rFonts w:ascii="Times New Roman" w:hAnsi="Times New Roman" w:cs="Times New Roman"/>
        </w:rPr>
        <w:t xml:space="preserve">will </w:t>
      </w:r>
      <w:r w:rsidR="007638D9">
        <w:rPr>
          <w:rFonts w:ascii="Times New Roman" w:hAnsi="Times New Roman" w:cs="Times New Roman"/>
        </w:rPr>
        <w:t xml:space="preserve">initially </w:t>
      </w:r>
      <w:r w:rsidR="0054517D">
        <w:rPr>
          <w:rFonts w:ascii="Times New Roman" w:hAnsi="Times New Roman" w:cs="Times New Roman"/>
        </w:rPr>
        <w:t xml:space="preserve">consider the </w:t>
      </w:r>
      <w:r w:rsidRPr="00704500">
        <w:rPr>
          <w:rFonts w:ascii="Times New Roman" w:hAnsi="Times New Roman" w:cs="Times New Roman"/>
        </w:rPr>
        <w:t>draft Regulations</w:t>
      </w:r>
      <w:r w:rsidR="0054517D">
        <w:rPr>
          <w:rFonts w:ascii="Times New Roman" w:hAnsi="Times New Roman" w:cs="Times New Roman"/>
        </w:rPr>
        <w:t xml:space="preserve"> </w:t>
      </w:r>
      <w:r w:rsidR="0054517D" w:rsidRPr="00704500">
        <w:rPr>
          <w:rFonts w:ascii="Times New Roman" w:hAnsi="Times New Roman" w:cs="Times New Roman"/>
        </w:rPr>
        <w:t xml:space="preserve">at </w:t>
      </w:r>
      <w:r w:rsidR="007638D9">
        <w:rPr>
          <w:rFonts w:ascii="Times New Roman" w:hAnsi="Times New Roman" w:cs="Times New Roman"/>
        </w:rPr>
        <w:t xml:space="preserve">a </w:t>
      </w:r>
      <w:r w:rsidR="0054517D" w:rsidRPr="00704500">
        <w:rPr>
          <w:rFonts w:ascii="Times New Roman" w:hAnsi="Times New Roman" w:cs="Times New Roman"/>
        </w:rPr>
        <w:t xml:space="preserve">meeting on the </w:t>
      </w:r>
      <w:r w:rsidR="00C3454F">
        <w:rPr>
          <w:rFonts w:ascii="Times New Roman" w:hAnsi="Times New Roman" w:cs="Times New Roman"/>
        </w:rPr>
        <w:t>4</w:t>
      </w:r>
      <w:r w:rsidR="00C3454F" w:rsidRPr="00C3454F">
        <w:rPr>
          <w:rFonts w:ascii="Times New Roman" w:hAnsi="Times New Roman" w:cs="Times New Roman"/>
          <w:vertAlign w:val="superscript"/>
        </w:rPr>
        <w:t>th</w:t>
      </w:r>
      <w:r w:rsidR="00C3454F">
        <w:rPr>
          <w:rFonts w:ascii="Times New Roman" w:hAnsi="Times New Roman" w:cs="Times New Roman"/>
        </w:rPr>
        <w:t xml:space="preserve"> June </w:t>
      </w:r>
      <w:r w:rsidR="00E851F3">
        <w:rPr>
          <w:rFonts w:ascii="Times New Roman" w:hAnsi="Times New Roman" w:cs="Times New Roman"/>
        </w:rPr>
        <w:t>2015</w:t>
      </w:r>
      <w:r w:rsidR="007638D9">
        <w:rPr>
          <w:rFonts w:ascii="Times New Roman" w:hAnsi="Times New Roman" w:cs="Times New Roman"/>
        </w:rPr>
        <w:t xml:space="preserve"> </w:t>
      </w:r>
      <w:r w:rsidRPr="00704500">
        <w:rPr>
          <w:rFonts w:ascii="Times New Roman" w:hAnsi="Times New Roman" w:cs="Times New Roman"/>
        </w:rPr>
        <w:t xml:space="preserve">for submission to the Board meeting on the </w:t>
      </w:r>
      <w:r w:rsidR="00C3454F">
        <w:rPr>
          <w:rFonts w:ascii="Times New Roman" w:hAnsi="Times New Roman" w:cs="Times New Roman"/>
        </w:rPr>
        <w:t>19</w:t>
      </w:r>
      <w:r w:rsidR="00C3454F" w:rsidRPr="00C3454F">
        <w:rPr>
          <w:rFonts w:ascii="Times New Roman" w:hAnsi="Times New Roman" w:cs="Times New Roman"/>
          <w:vertAlign w:val="superscript"/>
        </w:rPr>
        <w:t>th</w:t>
      </w:r>
      <w:r w:rsidR="00C3454F">
        <w:rPr>
          <w:rFonts w:ascii="Times New Roman" w:hAnsi="Times New Roman" w:cs="Times New Roman"/>
        </w:rPr>
        <w:t xml:space="preserve"> June </w:t>
      </w:r>
      <w:r w:rsidR="0086568E">
        <w:rPr>
          <w:rFonts w:ascii="Times New Roman" w:hAnsi="Times New Roman" w:cs="Times New Roman"/>
        </w:rPr>
        <w:t>2015</w:t>
      </w:r>
      <w:r w:rsidR="00FC3DD6" w:rsidRPr="00704500">
        <w:rPr>
          <w:rFonts w:ascii="Times New Roman" w:hAnsi="Times New Roman" w:cs="Times New Roman"/>
        </w:rPr>
        <w:t xml:space="preserve">. </w:t>
      </w:r>
    </w:p>
    <w:p w14:paraId="6249843D" w14:textId="77777777" w:rsidR="00834E2F" w:rsidRPr="00704500" w:rsidRDefault="00834E2F" w:rsidP="00565916">
      <w:pPr>
        <w:spacing w:after="0" w:line="360" w:lineRule="auto"/>
        <w:jc w:val="both"/>
        <w:rPr>
          <w:rFonts w:ascii="Times New Roman" w:hAnsi="Times New Roman" w:cs="Times New Roman"/>
        </w:rPr>
      </w:pPr>
    </w:p>
    <w:p w14:paraId="275D33F8" w14:textId="7BCB1855" w:rsidR="00D57E05" w:rsidRPr="00F63B16" w:rsidRDefault="007638D9" w:rsidP="00565916">
      <w:pPr>
        <w:spacing w:line="360" w:lineRule="auto"/>
        <w:jc w:val="both"/>
        <w:rPr>
          <w:rFonts w:ascii="Times New Roman" w:hAnsi="Times New Roman" w:cs="Times New Roman"/>
          <w:sz w:val="24"/>
          <w:szCs w:val="24"/>
        </w:rPr>
      </w:pPr>
      <w:r>
        <w:rPr>
          <w:rFonts w:ascii="Times New Roman" w:hAnsi="Times New Roman" w:cs="Times New Roman"/>
        </w:rPr>
        <w:t xml:space="preserve">Arising from the consultation phase, a number of amendments </w:t>
      </w:r>
      <w:r w:rsidR="00DC1357">
        <w:rPr>
          <w:rFonts w:ascii="Times New Roman" w:hAnsi="Times New Roman" w:cs="Times New Roman"/>
        </w:rPr>
        <w:t>may</w:t>
      </w:r>
      <w:r>
        <w:rPr>
          <w:rFonts w:ascii="Times New Roman" w:hAnsi="Times New Roman" w:cs="Times New Roman"/>
        </w:rPr>
        <w:t xml:space="preserve"> be made to the draft Regulations and these will be brought to the </w:t>
      </w:r>
      <w:r w:rsidR="00E851F3">
        <w:rPr>
          <w:rFonts w:ascii="Times New Roman" w:hAnsi="Times New Roman" w:cs="Times New Roman"/>
        </w:rPr>
        <w:t xml:space="preserve">attention </w:t>
      </w:r>
      <w:r w:rsidR="00E851F3" w:rsidRPr="00704500">
        <w:rPr>
          <w:rFonts w:ascii="Times New Roman" w:hAnsi="Times New Roman" w:cs="Times New Roman"/>
        </w:rPr>
        <w:t>of</w:t>
      </w:r>
      <w:r>
        <w:rPr>
          <w:rFonts w:ascii="Times New Roman" w:hAnsi="Times New Roman" w:cs="Times New Roman"/>
        </w:rPr>
        <w:t xml:space="preserve"> </w:t>
      </w:r>
      <w:r w:rsidR="00AE3749" w:rsidRPr="00704500">
        <w:rPr>
          <w:rFonts w:ascii="Times New Roman" w:hAnsi="Times New Roman" w:cs="Times New Roman"/>
        </w:rPr>
        <w:t xml:space="preserve">the Legislation and Guidance Sub-Committee of the Board </w:t>
      </w:r>
      <w:r>
        <w:rPr>
          <w:rFonts w:ascii="Times New Roman" w:hAnsi="Times New Roman" w:cs="Times New Roman"/>
        </w:rPr>
        <w:t>for consideration later in</w:t>
      </w:r>
      <w:r w:rsidR="00AE3749" w:rsidRPr="00704500">
        <w:rPr>
          <w:rFonts w:ascii="Times New Roman" w:hAnsi="Times New Roman" w:cs="Times New Roman"/>
        </w:rPr>
        <w:t xml:space="preserve"> 201</w:t>
      </w:r>
      <w:r w:rsidR="0086568E">
        <w:rPr>
          <w:rFonts w:ascii="Times New Roman" w:hAnsi="Times New Roman" w:cs="Times New Roman"/>
        </w:rPr>
        <w:t>5</w:t>
      </w:r>
      <w:r w:rsidR="00AE3749" w:rsidRPr="00704500">
        <w:rPr>
          <w:rFonts w:ascii="Times New Roman" w:hAnsi="Times New Roman" w:cs="Times New Roman"/>
        </w:rPr>
        <w:t xml:space="preserve">. Subject to </w:t>
      </w:r>
      <w:r w:rsidR="00B103D4">
        <w:rPr>
          <w:rFonts w:ascii="Times New Roman" w:hAnsi="Times New Roman" w:cs="Times New Roman"/>
        </w:rPr>
        <w:t xml:space="preserve">these </w:t>
      </w:r>
      <w:r w:rsidR="00AE3749" w:rsidRPr="00704500">
        <w:rPr>
          <w:rFonts w:ascii="Times New Roman" w:hAnsi="Times New Roman" w:cs="Times New Roman"/>
        </w:rPr>
        <w:t xml:space="preserve">amendments being </w:t>
      </w:r>
      <w:r w:rsidR="00B103D4">
        <w:rPr>
          <w:rFonts w:ascii="Times New Roman" w:hAnsi="Times New Roman" w:cs="Times New Roman"/>
        </w:rPr>
        <w:t>approved</w:t>
      </w:r>
      <w:r w:rsidR="0086568E">
        <w:rPr>
          <w:rFonts w:ascii="Times New Roman" w:hAnsi="Times New Roman" w:cs="Times New Roman"/>
        </w:rPr>
        <w:t>,</w:t>
      </w:r>
      <w:r w:rsidR="00AE3749" w:rsidRPr="00704500">
        <w:rPr>
          <w:rFonts w:ascii="Times New Roman" w:hAnsi="Times New Roman" w:cs="Times New Roman"/>
        </w:rPr>
        <w:t xml:space="preserve"> </w:t>
      </w:r>
      <w:r w:rsidR="00B103D4">
        <w:rPr>
          <w:rFonts w:ascii="Times New Roman" w:hAnsi="Times New Roman" w:cs="Times New Roman"/>
        </w:rPr>
        <w:t xml:space="preserve">it is proposed </w:t>
      </w:r>
      <w:r w:rsidR="00AE3749" w:rsidRPr="00704500">
        <w:rPr>
          <w:rFonts w:ascii="Times New Roman" w:hAnsi="Times New Roman" w:cs="Times New Roman"/>
        </w:rPr>
        <w:t xml:space="preserve">the draft Regulations </w:t>
      </w:r>
      <w:r w:rsidR="00B103D4">
        <w:rPr>
          <w:rFonts w:ascii="Times New Roman" w:hAnsi="Times New Roman" w:cs="Times New Roman"/>
        </w:rPr>
        <w:t xml:space="preserve">will be </w:t>
      </w:r>
      <w:r w:rsidR="00AE3749" w:rsidRPr="00704500">
        <w:rPr>
          <w:rFonts w:ascii="Times New Roman" w:hAnsi="Times New Roman" w:cs="Times New Roman"/>
        </w:rPr>
        <w:t xml:space="preserve">cleared to go to </w:t>
      </w:r>
      <w:r w:rsidR="00C3454F">
        <w:rPr>
          <w:rFonts w:ascii="Times New Roman" w:hAnsi="Times New Roman" w:cs="Times New Roman"/>
        </w:rPr>
        <w:t xml:space="preserve">a </w:t>
      </w:r>
      <w:r w:rsidR="00AE3749" w:rsidRPr="00704500">
        <w:rPr>
          <w:rFonts w:ascii="Times New Roman" w:hAnsi="Times New Roman" w:cs="Times New Roman"/>
        </w:rPr>
        <w:t xml:space="preserve">Board meeting </w:t>
      </w:r>
      <w:r w:rsidR="00B103D4">
        <w:rPr>
          <w:rFonts w:ascii="Times New Roman" w:hAnsi="Times New Roman" w:cs="Times New Roman"/>
        </w:rPr>
        <w:t xml:space="preserve">in </w:t>
      </w:r>
      <w:r w:rsidR="00C3454F">
        <w:rPr>
          <w:rFonts w:ascii="Times New Roman" w:hAnsi="Times New Roman" w:cs="Times New Roman"/>
        </w:rPr>
        <w:t xml:space="preserve">September or October </w:t>
      </w:r>
      <w:bookmarkStart w:id="7" w:name="_GoBack"/>
      <w:bookmarkEnd w:id="7"/>
      <w:r w:rsidR="00AE3749" w:rsidRPr="00704500">
        <w:rPr>
          <w:rFonts w:ascii="Times New Roman" w:hAnsi="Times New Roman" w:cs="Times New Roman"/>
        </w:rPr>
        <w:t>201</w:t>
      </w:r>
      <w:r w:rsidR="0086568E">
        <w:rPr>
          <w:rFonts w:ascii="Times New Roman" w:hAnsi="Times New Roman" w:cs="Times New Roman"/>
        </w:rPr>
        <w:t>5</w:t>
      </w:r>
      <w:r w:rsidR="00AE3749" w:rsidRPr="00704500">
        <w:rPr>
          <w:rFonts w:ascii="Times New Roman" w:hAnsi="Times New Roman" w:cs="Times New Roman"/>
        </w:rPr>
        <w:t xml:space="preserve">. At this meeting </w:t>
      </w:r>
      <w:r w:rsidR="005D3C54" w:rsidRPr="00704500">
        <w:rPr>
          <w:rFonts w:ascii="Times New Roman" w:hAnsi="Times New Roman" w:cs="Times New Roman"/>
        </w:rPr>
        <w:t>the draft Regula</w:t>
      </w:r>
      <w:r w:rsidR="00AE3749" w:rsidRPr="00704500">
        <w:rPr>
          <w:rFonts w:ascii="Times New Roman" w:hAnsi="Times New Roman" w:cs="Times New Roman"/>
        </w:rPr>
        <w:t>t</w:t>
      </w:r>
      <w:r w:rsidR="005D3C54" w:rsidRPr="00704500">
        <w:rPr>
          <w:rFonts w:ascii="Times New Roman" w:hAnsi="Times New Roman" w:cs="Times New Roman"/>
        </w:rPr>
        <w:t>i</w:t>
      </w:r>
      <w:r w:rsidR="00AE3749" w:rsidRPr="00704500">
        <w:rPr>
          <w:rFonts w:ascii="Times New Roman" w:hAnsi="Times New Roman" w:cs="Times New Roman"/>
        </w:rPr>
        <w:t>ons w</w:t>
      </w:r>
      <w:r w:rsidR="00B103D4">
        <w:rPr>
          <w:rFonts w:ascii="Times New Roman" w:hAnsi="Times New Roman" w:cs="Times New Roman"/>
        </w:rPr>
        <w:t xml:space="preserve">ill be </w:t>
      </w:r>
      <w:r w:rsidR="00AE3749" w:rsidRPr="00704500">
        <w:rPr>
          <w:rFonts w:ascii="Times New Roman" w:hAnsi="Times New Roman" w:cs="Times New Roman"/>
        </w:rPr>
        <w:t>cleared f</w:t>
      </w:r>
      <w:r w:rsidR="00380B05" w:rsidRPr="00704500">
        <w:rPr>
          <w:rFonts w:ascii="Times New Roman" w:hAnsi="Times New Roman" w:cs="Times New Roman"/>
        </w:rPr>
        <w:t>or submission to the Department of</w:t>
      </w:r>
      <w:r w:rsidR="00AE3749" w:rsidRPr="00704500">
        <w:rPr>
          <w:rFonts w:ascii="Times New Roman" w:hAnsi="Times New Roman" w:cs="Times New Roman"/>
        </w:rPr>
        <w:t xml:space="preserve"> </w:t>
      </w:r>
      <w:r w:rsidR="00380B05" w:rsidRPr="00704500">
        <w:rPr>
          <w:rFonts w:ascii="Times New Roman" w:hAnsi="Times New Roman" w:cs="Times New Roman"/>
        </w:rPr>
        <w:t>Jobs</w:t>
      </w:r>
      <w:r w:rsidR="00AE3749" w:rsidRPr="00704500">
        <w:rPr>
          <w:rFonts w:ascii="Times New Roman" w:hAnsi="Times New Roman" w:cs="Times New Roman"/>
        </w:rPr>
        <w:t>, Enterprise and Innovation for consideration with a view to formal legal settlement by the Office of Parliamentary Council to the Government</w:t>
      </w:r>
      <w:r w:rsidR="00AE3749">
        <w:rPr>
          <w:rFonts w:ascii="Times New Roman" w:hAnsi="Times New Roman" w:cs="Times New Roman"/>
          <w:sz w:val="24"/>
          <w:szCs w:val="24"/>
        </w:rPr>
        <w:t>.</w:t>
      </w:r>
    </w:p>
    <w:p w14:paraId="3D9F8B4F" w14:textId="77777777" w:rsidR="00691181" w:rsidRPr="00691181" w:rsidRDefault="00076488" w:rsidP="00565916">
      <w:pPr>
        <w:pStyle w:val="Heading1"/>
        <w:keepLines w:val="0"/>
        <w:numPr>
          <w:ilvl w:val="0"/>
          <w:numId w:val="7"/>
        </w:numPr>
        <w:spacing w:before="0" w:line="360" w:lineRule="auto"/>
        <w:jc w:val="both"/>
        <w:rPr>
          <w:rFonts w:ascii="Times New Roman" w:hAnsi="Times New Roman" w:cs="Times New Roman"/>
        </w:rPr>
      </w:pPr>
      <w:bookmarkStart w:id="8" w:name="_Toc285459475"/>
      <w:bookmarkStart w:id="9" w:name="_Toc306957873"/>
      <w:r>
        <w:rPr>
          <w:rFonts w:ascii="Times New Roman" w:hAnsi="Times New Roman" w:cs="Times New Roman"/>
        </w:rPr>
        <w:t>Enforcement and Compliance</w:t>
      </w:r>
    </w:p>
    <w:p w14:paraId="2CB023DA" w14:textId="73B14C55" w:rsidR="00D57E05" w:rsidRPr="00704500" w:rsidRDefault="00076488" w:rsidP="00565916">
      <w:pPr>
        <w:spacing w:line="360" w:lineRule="auto"/>
        <w:jc w:val="both"/>
        <w:rPr>
          <w:rFonts w:ascii="Times New Roman" w:hAnsi="Times New Roman" w:cs="Times New Roman"/>
        </w:rPr>
      </w:pPr>
      <w:r w:rsidRPr="00704500">
        <w:rPr>
          <w:rFonts w:ascii="Times New Roman" w:hAnsi="Times New Roman" w:cs="Times New Roman"/>
        </w:rPr>
        <w:t>The Authority is the primary enforcer of occupational safety, health and</w:t>
      </w:r>
      <w:r w:rsidR="00A673F8">
        <w:rPr>
          <w:rFonts w:ascii="Times New Roman" w:hAnsi="Times New Roman" w:cs="Times New Roman"/>
        </w:rPr>
        <w:t xml:space="preserve"> welfare legislation through it</w:t>
      </w:r>
      <w:r w:rsidRPr="00704500">
        <w:rPr>
          <w:rFonts w:ascii="Times New Roman" w:hAnsi="Times New Roman" w:cs="Times New Roman"/>
        </w:rPr>
        <w:t xml:space="preserve">s inspection process. </w:t>
      </w:r>
      <w:r w:rsidR="0086568E">
        <w:rPr>
          <w:rFonts w:ascii="Times New Roman" w:hAnsi="Times New Roman" w:cs="Times New Roman"/>
        </w:rPr>
        <w:t>Initially t</w:t>
      </w:r>
      <w:r w:rsidRPr="00704500">
        <w:rPr>
          <w:rFonts w:ascii="Times New Roman" w:hAnsi="Times New Roman" w:cs="Times New Roman"/>
        </w:rPr>
        <w:t xml:space="preserve">here will be approximately </w:t>
      </w:r>
      <w:r w:rsidR="00B103D4">
        <w:rPr>
          <w:rFonts w:ascii="Times New Roman" w:hAnsi="Times New Roman" w:cs="Times New Roman"/>
        </w:rPr>
        <w:t>50</w:t>
      </w:r>
      <w:r w:rsidRPr="00704500">
        <w:rPr>
          <w:rFonts w:ascii="Times New Roman" w:hAnsi="Times New Roman" w:cs="Times New Roman"/>
        </w:rPr>
        <w:t xml:space="preserve"> inspections </w:t>
      </w:r>
      <w:r w:rsidR="0086568E">
        <w:rPr>
          <w:rFonts w:ascii="Times New Roman" w:hAnsi="Times New Roman" w:cs="Times New Roman"/>
        </w:rPr>
        <w:t xml:space="preserve">relating to electromagnetic fields </w:t>
      </w:r>
      <w:r w:rsidRPr="00704500">
        <w:rPr>
          <w:rFonts w:ascii="Times New Roman" w:hAnsi="Times New Roman" w:cs="Times New Roman"/>
        </w:rPr>
        <w:t xml:space="preserve">in </w:t>
      </w:r>
      <w:r w:rsidR="0086568E">
        <w:rPr>
          <w:rFonts w:ascii="Times New Roman" w:hAnsi="Times New Roman" w:cs="Times New Roman"/>
        </w:rPr>
        <w:t xml:space="preserve">various </w:t>
      </w:r>
      <w:r w:rsidRPr="00704500">
        <w:rPr>
          <w:rFonts w:ascii="Times New Roman" w:hAnsi="Times New Roman" w:cs="Times New Roman"/>
        </w:rPr>
        <w:t>sector</w:t>
      </w:r>
      <w:r w:rsidR="0086568E">
        <w:rPr>
          <w:rFonts w:ascii="Times New Roman" w:hAnsi="Times New Roman" w:cs="Times New Roman"/>
        </w:rPr>
        <w:t>s</w:t>
      </w:r>
      <w:r w:rsidRPr="00704500">
        <w:rPr>
          <w:rFonts w:ascii="Times New Roman" w:hAnsi="Times New Roman" w:cs="Times New Roman"/>
        </w:rPr>
        <w:t xml:space="preserve"> in </w:t>
      </w:r>
      <w:r w:rsidR="00DE138F" w:rsidRPr="00704500">
        <w:rPr>
          <w:rFonts w:ascii="Times New Roman" w:hAnsi="Times New Roman" w:cs="Times New Roman"/>
        </w:rPr>
        <w:t>201</w:t>
      </w:r>
      <w:r w:rsidR="0086568E">
        <w:rPr>
          <w:rFonts w:ascii="Times New Roman" w:hAnsi="Times New Roman" w:cs="Times New Roman"/>
        </w:rPr>
        <w:t>7</w:t>
      </w:r>
      <w:r w:rsidR="00DE138F" w:rsidRPr="00704500">
        <w:rPr>
          <w:rFonts w:ascii="Times New Roman" w:hAnsi="Times New Roman" w:cs="Times New Roman"/>
        </w:rPr>
        <w:t xml:space="preserve"> and compliance with the Regulations </w:t>
      </w:r>
      <w:r w:rsidR="0086568E">
        <w:rPr>
          <w:rFonts w:ascii="Times New Roman" w:hAnsi="Times New Roman" w:cs="Times New Roman"/>
        </w:rPr>
        <w:t>w</w:t>
      </w:r>
      <w:r w:rsidR="00DE138F" w:rsidRPr="00704500">
        <w:rPr>
          <w:rFonts w:ascii="Times New Roman" w:hAnsi="Times New Roman" w:cs="Times New Roman"/>
        </w:rPr>
        <w:t>ill be monitored through the</w:t>
      </w:r>
      <w:r w:rsidR="0086568E">
        <w:rPr>
          <w:rFonts w:ascii="Times New Roman" w:hAnsi="Times New Roman" w:cs="Times New Roman"/>
        </w:rPr>
        <w:t>se</w:t>
      </w:r>
      <w:r w:rsidR="00DE138F" w:rsidRPr="00704500">
        <w:rPr>
          <w:rFonts w:ascii="Times New Roman" w:hAnsi="Times New Roman" w:cs="Times New Roman"/>
        </w:rPr>
        <w:t xml:space="preserve"> inspection</w:t>
      </w:r>
      <w:r w:rsidR="0086568E">
        <w:rPr>
          <w:rFonts w:ascii="Times New Roman" w:hAnsi="Times New Roman" w:cs="Times New Roman"/>
        </w:rPr>
        <w:t>s</w:t>
      </w:r>
      <w:r w:rsidR="00DE138F" w:rsidRPr="00704500">
        <w:rPr>
          <w:rFonts w:ascii="Times New Roman" w:hAnsi="Times New Roman" w:cs="Times New Roman"/>
        </w:rPr>
        <w:t xml:space="preserve"> </w:t>
      </w:r>
      <w:r w:rsidR="00F96579">
        <w:rPr>
          <w:rFonts w:ascii="Times New Roman" w:hAnsi="Times New Roman" w:cs="Times New Roman"/>
        </w:rPr>
        <w:t>and planned inspections in later years</w:t>
      </w:r>
      <w:r w:rsidR="00DE138F" w:rsidRPr="00704500">
        <w:rPr>
          <w:rFonts w:ascii="Times New Roman" w:hAnsi="Times New Roman" w:cs="Times New Roman"/>
        </w:rPr>
        <w:t>.</w:t>
      </w:r>
      <w:bookmarkEnd w:id="8"/>
      <w:bookmarkEnd w:id="9"/>
    </w:p>
    <w:p w14:paraId="7C5C26FA" w14:textId="77777777" w:rsidR="00691181" w:rsidRPr="00834E2F" w:rsidRDefault="005F3ECC" w:rsidP="00565916">
      <w:pPr>
        <w:pStyle w:val="ListParagraph"/>
        <w:numPr>
          <w:ilvl w:val="0"/>
          <w:numId w:val="7"/>
        </w:numPr>
        <w:jc w:val="both"/>
        <w:rPr>
          <w:rFonts w:ascii="Times New Roman" w:hAnsi="Times New Roman"/>
          <w:b/>
          <w:color w:val="1F497D" w:themeColor="text2"/>
          <w:sz w:val="28"/>
          <w:szCs w:val="28"/>
        </w:rPr>
      </w:pPr>
      <w:r w:rsidRPr="00834E2F">
        <w:rPr>
          <w:rFonts w:ascii="Times New Roman" w:eastAsiaTheme="minorEastAsia" w:hAnsi="Times New Roman"/>
          <w:b/>
          <w:color w:val="1F497D" w:themeColor="text2"/>
          <w:sz w:val="28"/>
          <w:szCs w:val="28"/>
        </w:rPr>
        <w:t>Review</w:t>
      </w:r>
    </w:p>
    <w:p w14:paraId="76503B47" w14:textId="2A4EDFBF" w:rsidR="00D57E05" w:rsidRPr="00704500" w:rsidRDefault="00F96579" w:rsidP="00565916">
      <w:pPr>
        <w:spacing w:after="0" w:line="360" w:lineRule="auto"/>
        <w:jc w:val="both"/>
        <w:rPr>
          <w:rFonts w:ascii="Times New Roman" w:hAnsi="Times New Roman"/>
          <w:color w:val="BFBFBF"/>
        </w:rPr>
      </w:pPr>
      <w:r>
        <w:rPr>
          <w:rFonts w:ascii="Times New Roman" w:hAnsi="Times New Roman"/>
        </w:rPr>
        <w:t>In early 2018, t</w:t>
      </w:r>
      <w:r w:rsidR="00D57E05" w:rsidRPr="00704500">
        <w:rPr>
          <w:rFonts w:ascii="Times New Roman" w:hAnsi="Times New Roman"/>
        </w:rPr>
        <w:t xml:space="preserve">he Authority will review the impact of the proposed Regulations through </w:t>
      </w:r>
      <w:r w:rsidR="005F3ECC" w:rsidRPr="00704500">
        <w:rPr>
          <w:rFonts w:ascii="Times New Roman" w:hAnsi="Times New Roman"/>
        </w:rPr>
        <w:t xml:space="preserve">monitoring of enforcement statistics, requests for information, </w:t>
      </w:r>
      <w:r w:rsidR="00F96B4B" w:rsidRPr="00704500">
        <w:rPr>
          <w:rFonts w:ascii="Times New Roman" w:hAnsi="Times New Roman"/>
        </w:rPr>
        <w:t xml:space="preserve">and reviewing </w:t>
      </w:r>
      <w:r w:rsidR="000A75B7" w:rsidRPr="00704500">
        <w:rPr>
          <w:rFonts w:ascii="Times New Roman" w:hAnsi="Times New Roman"/>
        </w:rPr>
        <w:t>progress</w:t>
      </w:r>
      <w:r w:rsidR="00F96B4B" w:rsidRPr="00704500">
        <w:rPr>
          <w:rFonts w:ascii="Times New Roman" w:hAnsi="Times New Roman"/>
        </w:rPr>
        <w:t xml:space="preserve"> with stakeholders in the sector</w:t>
      </w:r>
      <w:r w:rsidR="00D57E05" w:rsidRPr="00704500">
        <w:rPr>
          <w:rFonts w:ascii="Times New Roman" w:hAnsi="Times New Roman"/>
        </w:rPr>
        <w:t xml:space="preserve">.     </w:t>
      </w:r>
    </w:p>
    <w:p w14:paraId="7EFF19BC" w14:textId="77777777" w:rsidR="00834E2F" w:rsidRPr="00834E2F" w:rsidRDefault="00024ADC" w:rsidP="00565916">
      <w:pPr>
        <w:pStyle w:val="Heading1"/>
        <w:spacing w:after="200" w:line="360" w:lineRule="auto"/>
        <w:jc w:val="both"/>
      </w:pPr>
      <w:bookmarkStart w:id="10" w:name="_Toc306957874"/>
      <w:r>
        <w:lastRenderedPageBreak/>
        <w:t>R</w:t>
      </w:r>
      <w:r w:rsidR="00592235">
        <w:t>eferences</w:t>
      </w:r>
      <w:bookmarkEnd w:id="10"/>
      <w:r w:rsidR="00592235">
        <w:t xml:space="preserve"> </w:t>
      </w:r>
    </w:p>
    <w:p w14:paraId="1B8B46BF" w14:textId="4D0DD677" w:rsidR="00592235" w:rsidRDefault="00B103D4" w:rsidP="00565916">
      <w:pPr>
        <w:spacing w:line="360" w:lineRule="auto"/>
        <w:jc w:val="both"/>
        <w:rPr>
          <w:rFonts w:ascii="Times New Roman" w:hAnsi="Times New Roman" w:cs="Times New Roman"/>
          <w:i/>
        </w:rPr>
      </w:pPr>
      <w:r>
        <w:rPr>
          <w:rFonts w:ascii="Times New Roman" w:hAnsi="Times New Roman" w:cs="Times New Roman"/>
        </w:rPr>
        <w:t xml:space="preserve">Draft </w:t>
      </w:r>
      <w:r w:rsidR="00F96579">
        <w:rPr>
          <w:rFonts w:ascii="Times New Roman" w:hAnsi="Times New Roman" w:cs="Times New Roman"/>
        </w:rPr>
        <w:t xml:space="preserve">Non-binding guide to good practice for implementing Directive 2013/35/EU Electromagnetic Fields, </w:t>
      </w:r>
      <w:r w:rsidR="00F96579" w:rsidRPr="00F96579">
        <w:rPr>
          <w:rFonts w:ascii="Times New Roman" w:hAnsi="Times New Roman" w:cs="Times New Roman"/>
          <w:i/>
        </w:rPr>
        <w:t>Public Health England</w:t>
      </w:r>
      <w:r w:rsidR="00DD54A9">
        <w:rPr>
          <w:rFonts w:ascii="Times New Roman" w:hAnsi="Times New Roman" w:cs="Times New Roman"/>
          <w:i/>
        </w:rPr>
        <w:t>, 2014</w:t>
      </w:r>
    </w:p>
    <w:p w14:paraId="7E5F7E1B" w14:textId="26E9825A" w:rsidR="00DD54A9" w:rsidRPr="00DD54A9" w:rsidRDefault="00DD54A9" w:rsidP="00565916">
      <w:pPr>
        <w:spacing w:line="360" w:lineRule="auto"/>
        <w:jc w:val="both"/>
        <w:rPr>
          <w:rFonts w:ascii="Times New Roman" w:hAnsi="Times New Roman" w:cs="Times New Roman"/>
          <w:i/>
        </w:rPr>
      </w:pPr>
      <w:r w:rsidRPr="00DD54A9">
        <w:rPr>
          <w:rFonts w:ascii="Times New Roman" w:hAnsi="Times New Roman" w:cs="Times New Roman"/>
        </w:rPr>
        <w:t xml:space="preserve">Impact Assessment </w:t>
      </w:r>
      <w:r>
        <w:rPr>
          <w:rFonts w:ascii="Times New Roman" w:hAnsi="Times New Roman" w:cs="Times New Roman"/>
        </w:rPr>
        <w:t xml:space="preserve">of proposed EU Directive on electromagnetic fields, </w:t>
      </w:r>
      <w:r w:rsidRPr="00DD54A9">
        <w:rPr>
          <w:rFonts w:ascii="Times New Roman" w:hAnsi="Times New Roman" w:cs="Times New Roman"/>
          <w:i/>
        </w:rPr>
        <w:t xml:space="preserve">EU Commission, 2011 </w:t>
      </w:r>
    </w:p>
    <w:p w14:paraId="4B4A4E97" w14:textId="15EED8D5" w:rsidR="00843B10" w:rsidRPr="00834E2F" w:rsidRDefault="00843B10" w:rsidP="00565916">
      <w:pPr>
        <w:spacing w:line="360" w:lineRule="auto"/>
        <w:jc w:val="both"/>
        <w:rPr>
          <w:rFonts w:ascii="Times New Roman" w:hAnsi="Times New Roman" w:cs="Times New Roman"/>
          <w:i/>
          <w:sz w:val="24"/>
          <w:szCs w:val="24"/>
        </w:rPr>
      </w:pPr>
    </w:p>
    <w:p w14:paraId="7CB5DB2E" w14:textId="77777777" w:rsidR="008E758E" w:rsidRPr="00592235" w:rsidRDefault="008E758E" w:rsidP="00565916">
      <w:pPr>
        <w:spacing w:line="360" w:lineRule="auto"/>
        <w:jc w:val="both"/>
        <w:rPr>
          <w:rFonts w:ascii="Times New Roman" w:hAnsi="Times New Roman" w:cs="Times New Roman"/>
          <w:i/>
        </w:rPr>
      </w:pPr>
    </w:p>
    <w:sectPr w:rsidR="008E758E" w:rsidRPr="00592235" w:rsidSect="00CA2D4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22434" w14:textId="77777777" w:rsidR="00CF3352" w:rsidRDefault="00CF3352" w:rsidP="00AD6B53">
      <w:pPr>
        <w:spacing w:after="0" w:line="240" w:lineRule="auto"/>
      </w:pPr>
      <w:r>
        <w:separator/>
      </w:r>
    </w:p>
  </w:endnote>
  <w:endnote w:type="continuationSeparator" w:id="0">
    <w:p w14:paraId="2F3CEB9D" w14:textId="77777777" w:rsidR="00CF3352" w:rsidRDefault="00CF3352" w:rsidP="00AD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A6A6A6" w:themeColor="background1" w:themeShade="A6"/>
      </w:rPr>
      <w:id w:val="14295422"/>
      <w:docPartObj>
        <w:docPartGallery w:val="Page Numbers (Bottom of Page)"/>
        <w:docPartUnique/>
      </w:docPartObj>
    </w:sdtPr>
    <w:sdtEndPr>
      <w:rPr>
        <w:i w:val="0"/>
      </w:rPr>
    </w:sdtEndPr>
    <w:sdtContent>
      <w:p w14:paraId="48C99584" w14:textId="7C46B899" w:rsidR="0091512D" w:rsidRPr="00AD6B53" w:rsidRDefault="00E56042" w:rsidP="00AD6B53">
        <w:pPr>
          <w:pStyle w:val="Footer"/>
          <w:rPr>
            <w:color w:val="A6A6A6" w:themeColor="background1" w:themeShade="A6"/>
          </w:rPr>
        </w:pPr>
        <w:r>
          <w:rPr>
            <w:i/>
            <w:color w:val="A6A6A6" w:themeColor="background1" w:themeShade="A6"/>
          </w:rPr>
          <w:t>EMF Regulations</w:t>
        </w:r>
        <w:r w:rsidR="0091512D" w:rsidRPr="00AD6B53">
          <w:rPr>
            <w:color w:val="A6A6A6" w:themeColor="background1" w:themeShade="A6"/>
          </w:rPr>
          <w:t xml:space="preserve"> </w:t>
        </w:r>
        <w:r w:rsidR="0091512D" w:rsidRPr="00AD6B53">
          <w:rPr>
            <w:color w:val="A6A6A6" w:themeColor="background1" w:themeShade="A6"/>
          </w:rPr>
          <w:tab/>
          <w:t xml:space="preserve">Page | </w:t>
        </w:r>
        <w:r w:rsidR="00EC08FB" w:rsidRPr="00AD6B53">
          <w:rPr>
            <w:color w:val="A6A6A6" w:themeColor="background1" w:themeShade="A6"/>
          </w:rPr>
          <w:fldChar w:fldCharType="begin"/>
        </w:r>
        <w:r w:rsidR="0091512D" w:rsidRPr="00AD6B53">
          <w:rPr>
            <w:color w:val="A6A6A6" w:themeColor="background1" w:themeShade="A6"/>
          </w:rPr>
          <w:instrText xml:space="preserve"> PAGE   \* MERGEFORMAT </w:instrText>
        </w:r>
        <w:r w:rsidR="00EC08FB" w:rsidRPr="00AD6B53">
          <w:rPr>
            <w:color w:val="A6A6A6" w:themeColor="background1" w:themeShade="A6"/>
          </w:rPr>
          <w:fldChar w:fldCharType="separate"/>
        </w:r>
        <w:r w:rsidR="00C3454F">
          <w:rPr>
            <w:noProof/>
            <w:color w:val="A6A6A6" w:themeColor="background1" w:themeShade="A6"/>
          </w:rPr>
          <w:t>11</w:t>
        </w:r>
        <w:r w:rsidR="00EC08FB" w:rsidRPr="00AD6B53">
          <w:rPr>
            <w:color w:val="A6A6A6" w:themeColor="background1" w:themeShade="A6"/>
          </w:rPr>
          <w:fldChar w:fldCharType="end"/>
        </w:r>
      </w:p>
    </w:sdtContent>
  </w:sdt>
  <w:p w14:paraId="7879C99C" w14:textId="77777777" w:rsidR="0091512D" w:rsidRDefault="0091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A767" w14:textId="77777777" w:rsidR="00CF3352" w:rsidRDefault="00CF3352" w:rsidP="00AD6B53">
      <w:pPr>
        <w:spacing w:after="0" w:line="240" w:lineRule="auto"/>
      </w:pPr>
      <w:r>
        <w:separator/>
      </w:r>
    </w:p>
  </w:footnote>
  <w:footnote w:type="continuationSeparator" w:id="0">
    <w:p w14:paraId="68402398" w14:textId="77777777" w:rsidR="00CF3352" w:rsidRDefault="00CF3352" w:rsidP="00AD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AD1"/>
    <w:multiLevelType w:val="hybridMultilevel"/>
    <w:tmpl w:val="6B10A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AD56F1"/>
    <w:multiLevelType w:val="hybridMultilevel"/>
    <w:tmpl w:val="2C5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9313C"/>
    <w:multiLevelType w:val="hybridMultilevel"/>
    <w:tmpl w:val="854669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420E46"/>
    <w:multiLevelType w:val="hybridMultilevel"/>
    <w:tmpl w:val="CE3C77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D701C"/>
    <w:multiLevelType w:val="hybridMultilevel"/>
    <w:tmpl w:val="9BA489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E66F50"/>
    <w:multiLevelType w:val="hybridMultilevel"/>
    <w:tmpl w:val="CA02426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DD2526"/>
    <w:multiLevelType w:val="hybridMultilevel"/>
    <w:tmpl w:val="BDDE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63934"/>
    <w:multiLevelType w:val="hybridMultilevel"/>
    <w:tmpl w:val="C68C6E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5D44445"/>
    <w:multiLevelType w:val="hybridMultilevel"/>
    <w:tmpl w:val="7AB4BB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96775"/>
    <w:multiLevelType w:val="hybridMultilevel"/>
    <w:tmpl w:val="BB346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C9607BA"/>
    <w:multiLevelType w:val="hybridMultilevel"/>
    <w:tmpl w:val="12521B1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50E05CC4"/>
    <w:multiLevelType w:val="hybridMultilevel"/>
    <w:tmpl w:val="5BE025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87E312A"/>
    <w:multiLevelType w:val="hybridMultilevel"/>
    <w:tmpl w:val="37042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796DF8"/>
    <w:multiLevelType w:val="hybridMultilevel"/>
    <w:tmpl w:val="447CACB2"/>
    <w:lvl w:ilvl="0" w:tplc="CCA44AC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94EC0"/>
    <w:multiLevelType w:val="hybridMultilevel"/>
    <w:tmpl w:val="6D781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DFE08B4"/>
    <w:multiLevelType w:val="hybridMultilevel"/>
    <w:tmpl w:val="0144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14956"/>
    <w:multiLevelType w:val="hybridMultilevel"/>
    <w:tmpl w:val="427A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D23041"/>
    <w:multiLevelType w:val="hybridMultilevel"/>
    <w:tmpl w:val="F7E6D2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2"/>
  </w:num>
  <w:num w:numId="5">
    <w:abstractNumId w:val="9"/>
  </w:num>
  <w:num w:numId="6">
    <w:abstractNumId w:val="8"/>
  </w:num>
  <w:num w:numId="7">
    <w:abstractNumId w:val="4"/>
  </w:num>
  <w:num w:numId="8">
    <w:abstractNumId w:val="10"/>
  </w:num>
  <w:num w:numId="9">
    <w:abstractNumId w:val="11"/>
  </w:num>
  <w:num w:numId="10">
    <w:abstractNumId w:val="10"/>
  </w:num>
  <w:num w:numId="11">
    <w:abstractNumId w:val="14"/>
  </w:num>
  <w:num w:numId="12">
    <w:abstractNumId w:val="5"/>
  </w:num>
  <w:num w:numId="13">
    <w:abstractNumId w:val="0"/>
  </w:num>
  <w:num w:numId="14">
    <w:abstractNumId w:val="12"/>
  </w:num>
  <w:num w:numId="15">
    <w:abstractNumId w:val="1"/>
  </w:num>
  <w:num w:numId="16">
    <w:abstractNumId w:val="16"/>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C4"/>
    <w:rsid w:val="0000168A"/>
    <w:rsid w:val="00005BAE"/>
    <w:rsid w:val="00007A9B"/>
    <w:rsid w:val="0002039D"/>
    <w:rsid w:val="00024ADC"/>
    <w:rsid w:val="00036F06"/>
    <w:rsid w:val="00052D08"/>
    <w:rsid w:val="00053C06"/>
    <w:rsid w:val="00053C35"/>
    <w:rsid w:val="00056A4E"/>
    <w:rsid w:val="00056D17"/>
    <w:rsid w:val="00057C04"/>
    <w:rsid w:val="00074006"/>
    <w:rsid w:val="00076488"/>
    <w:rsid w:val="00086915"/>
    <w:rsid w:val="00087737"/>
    <w:rsid w:val="000931A9"/>
    <w:rsid w:val="00093B34"/>
    <w:rsid w:val="00094E7B"/>
    <w:rsid w:val="00095C51"/>
    <w:rsid w:val="000A01BE"/>
    <w:rsid w:val="000A2E47"/>
    <w:rsid w:val="000A451E"/>
    <w:rsid w:val="000A6B4A"/>
    <w:rsid w:val="000A75B7"/>
    <w:rsid w:val="000A7E16"/>
    <w:rsid w:val="000B2469"/>
    <w:rsid w:val="000C3A1F"/>
    <w:rsid w:val="000C709B"/>
    <w:rsid w:val="000E62D2"/>
    <w:rsid w:val="000E70E6"/>
    <w:rsid w:val="001011B3"/>
    <w:rsid w:val="001106D2"/>
    <w:rsid w:val="00141E5B"/>
    <w:rsid w:val="001638BF"/>
    <w:rsid w:val="00186036"/>
    <w:rsid w:val="001A4A0D"/>
    <w:rsid w:val="001A5341"/>
    <w:rsid w:val="001B47F3"/>
    <w:rsid w:val="001B48DA"/>
    <w:rsid w:val="001B5707"/>
    <w:rsid w:val="001C115E"/>
    <w:rsid w:val="001D0A8C"/>
    <w:rsid w:val="001D22EA"/>
    <w:rsid w:val="001E38D1"/>
    <w:rsid w:val="001F2F7D"/>
    <w:rsid w:val="00212A8A"/>
    <w:rsid w:val="0022290C"/>
    <w:rsid w:val="00240990"/>
    <w:rsid w:val="00243738"/>
    <w:rsid w:val="00250C6F"/>
    <w:rsid w:val="00273B8A"/>
    <w:rsid w:val="002A50E3"/>
    <w:rsid w:val="002B5E0E"/>
    <w:rsid w:val="002C0006"/>
    <w:rsid w:val="002D4F54"/>
    <w:rsid w:val="002D5D33"/>
    <w:rsid w:val="002E7561"/>
    <w:rsid w:val="002E767C"/>
    <w:rsid w:val="002F0300"/>
    <w:rsid w:val="002F43F6"/>
    <w:rsid w:val="003243C5"/>
    <w:rsid w:val="00324EDA"/>
    <w:rsid w:val="00326ABD"/>
    <w:rsid w:val="00335D0C"/>
    <w:rsid w:val="003600B2"/>
    <w:rsid w:val="003632D1"/>
    <w:rsid w:val="00380B05"/>
    <w:rsid w:val="00387131"/>
    <w:rsid w:val="00387646"/>
    <w:rsid w:val="003A52F1"/>
    <w:rsid w:val="003A6BC4"/>
    <w:rsid w:val="003B5E6D"/>
    <w:rsid w:val="003B7749"/>
    <w:rsid w:val="003C0E16"/>
    <w:rsid w:val="003C2E9C"/>
    <w:rsid w:val="003F6BA0"/>
    <w:rsid w:val="0041254A"/>
    <w:rsid w:val="00412CD8"/>
    <w:rsid w:val="0043582C"/>
    <w:rsid w:val="0043743C"/>
    <w:rsid w:val="0045361E"/>
    <w:rsid w:val="004820A2"/>
    <w:rsid w:val="00482C9B"/>
    <w:rsid w:val="004836A3"/>
    <w:rsid w:val="004A1BF5"/>
    <w:rsid w:val="004A4ACE"/>
    <w:rsid w:val="004D061C"/>
    <w:rsid w:val="004D5D49"/>
    <w:rsid w:val="00503510"/>
    <w:rsid w:val="00515A09"/>
    <w:rsid w:val="005319F5"/>
    <w:rsid w:val="00535003"/>
    <w:rsid w:val="005448A2"/>
    <w:rsid w:val="0054517D"/>
    <w:rsid w:val="00546144"/>
    <w:rsid w:val="00565916"/>
    <w:rsid w:val="005667C4"/>
    <w:rsid w:val="00566D04"/>
    <w:rsid w:val="005721C9"/>
    <w:rsid w:val="00576C39"/>
    <w:rsid w:val="00591790"/>
    <w:rsid w:val="0059205F"/>
    <w:rsid w:val="00592235"/>
    <w:rsid w:val="005A03A1"/>
    <w:rsid w:val="005A0E65"/>
    <w:rsid w:val="005A22AA"/>
    <w:rsid w:val="005B10CC"/>
    <w:rsid w:val="005B2F1F"/>
    <w:rsid w:val="005B3E55"/>
    <w:rsid w:val="005D19F1"/>
    <w:rsid w:val="005D3C54"/>
    <w:rsid w:val="005F3ECC"/>
    <w:rsid w:val="00603589"/>
    <w:rsid w:val="00614580"/>
    <w:rsid w:val="00615503"/>
    <w:rsid w:val="0062466C"/>
    <w:rsid w:val="00624AD4"/>
    <w:rsid w:val="00637E12"/>
    <w:rsid w:val="006779B1"/>
    <w:rsid w:val="00691181"/>
    <w:rsid w:val="00697D1D"/>
    <w:rsid w:val="006A2552"/>
    <w:rsid w:val="006A3DC5"/>
    <w:rsid w:val="006D2702"/>
    <w:rsid w:val="006F4E81"/>
    <w:rsid w:val="00704438"/>
    <w:rsid w:val="00704500"/>
    <w:rsid w:val="00736B2B"/>
    <w:rsid w:val="0074742A"/>
    <w:rsid w:val="007475B5"/>
    <w:rsid w:val="0075165E"/>
    <w:rsid w:val="007638D9"/>
    <w:rsid w:val="0077056E"/>
    <w:rsid w:val="00772A2C"/>
    <w:rsid w:val="0077408F"/>
    <w:rsid w:val="007A795E"/>
    <w:rsid w:val="007C3F5F"/>
    <w:rsid w:val="007C5D40"/>
    <w:rsid w:val="007C6C61"/>
    <w:rsid w:val="007C7761"/>
    <w:rsid w:val="007D5E1A"/>
    <w:rsid w:val="007D6D10"/>
    <w:rsid w:val="007E3F20"/>
    <w:rsid w:val="007F0ADD"/>
    <w:rsid w:val="007F3789"/>
    <w:rsid w:val="008130BE"/>
    <w:rsid w:val="008255B5"/>
    <w:rsid w:val="00834E2F"/>
    <w:rsid w:val="00837B5E"/>
    <w:rsid w:val="00842AC5"/>
    <w:rsid w:val="00843B10"/>
    <w:rsid w:val="00850944"/>
    <w:rsid w:val="008603F6"/>
    <w:rsid w:val="008644C9"/>
    <w:rsid w:val="0086568E"/>
    <w:rsid w:val="00871BA3"/>
    <w:rsid w:val="00877B00"/>
    <w:rsid w:val="008869D3"/>
    <w:rsid w:val="00893CB4"/>
    <w:rsid w:val="008A2044"/>
    <w:rsid w:val="008E758E"/>
    <w:rsid w:val="0091512D"/>
    <w:rsid w:val="009330B2"/>
    <w:rsid w:val="009516A3"/>
    <w:rsid w:val="0097733D"/>
    <w:rsid w:val="0098215E"/>
    <w:rsid w:val="0098471D"/>
    <w:rsid w:val="00987D0C"/>
    <w:rsid w:val="0099661A"/>
    <w:rsid w:val="009A496F"/>
    <w:rsid w:val="009A5298"/>
    <w:rsid w:val="009C61A2"/>
    <w:rsid w:val="009D1AF1"/>
    <w:rsid w:val="009E2211"/>
    <w:rsid w:val="009E2601"/>
    <w:rsid w:val="009F637A"/>
    <w:rsid w:val="00A1670E"/>
    <w:rsid w:val="00A177DB"/>
    <w:rsid w:val="00A208A1"/>
    <w:rsid w:val="00A21557"/>
    <w:rsid w:val="00A255A9"/>
    <w:rsid w:val="00A45585"/>
    <w:rsid w:val="00A673F8"/>
    <w:rsid w:val="00A7677C"/>
    <w:rsid w:val="00A776B3"/>
    <w:rsid w:val="00A947A1"/>
    <w:rsid w:val="00AB2786"/>
    <w:rsid w:val="00AC679D"/>
    <w:rsid w:val="00AD03E3"/>
    <w:rsid w:val="00AD6B53"/>
    <w:rsid w:val="00AE16C6"/>
    <w:rsid w:val="00AE3749"/>
    <w:rsid w:val="00AE3F9C"/>
    <w:rsid w:val="00AE5FF1"/>
    <w:rsid w:val="00B0616A"/>
    <w:rsid w:val="00B103D4"/>
    <w:rsid w:val="00B136FD"/>
    <w:rsid w:val="00B4272A"/>
    <w:rsid w:val="00B44FA4"/>
    <w:rsid w:val="00B6226C"/>
    <w:rsid w:val="00B64C7B"/>
    <w:rsid w:val="00B7423E"/>
    <w:rsid w:val="00B84823"/>
    <w:rsid w:val="00B94F34"/>
    <w:rsid w:val="00BC3163"/>
    <w:rsid w:val="00BC441B"/>
    <w:rsid w:val="00BE6F51"/>
    <w:rsid w:val="00BE741D"/>
    <w:rsid w:val="00BF596A"/>
    <w:rsid w:val="00C01799"/>
    <w:rsid w:val="00C3454F"/>
    <w:rsid w:val="00C529EE"/>
    <w:rsid w:val="00C90261"/>
    <w:rsid w:val="00C95BA6"/>
    <w:rsid w:val="00CA2D4D"/>
    <w:rsid w:val="00CB7F32"/>
    <w:rsid w:val="00CF2A3D"/>
    <w:rsid w:val="00CF3352"/>
    <w:rsid w:val="00D05F89"/>
    <w:rsid w:val="00D20E6B"/>
    <w:rsid w:val="00D240AC"/>
    <w:rsid w:val="00D428CC"/>
    <w:rsid w:val="00D42E4A"/>
    <w:rsid w:val="00D570F6"/>
    <w:rsid w:val="00D57E05"/>
    <w:rsid w:val="00D627D0"/>
    <w:rsid w:val="00D6660B"/>
    <w:rsid w:val="00D81712"/>
    <w:rsid w:val="00D85D1B"/>
    <w:rsid w:val="00DA3FA1"/>
    <w:rsid w:val="00DB54E3"/>
    <w:rsid w:val="00DC1357"/>
    <w:rsid w:val="00DC2211"/>
    <w:rsid w:val="00DD54A9"/>
    <w:rsid w:val="00DE138F"/>
    <w:rsid w:val="00DE16F0"/>
    <w:rsid w:val="00DE2229"/>
    <w:rsid w:val="00DE3FFF"/>
    <w:rsid w:val="00DF4DF7"/>
    <w:rsid w:val="00E04B00"/>
    <w:rsid w:val="00E07EF0"/>
    <w:rsid w:val="00E15AB8"/>
    <w:rsid w:val="00E34630"/>
    <w:rsid w:val="00E40126"/>
    <w:rsid w:val="00E41356"/>
    <w:rsid w:val="00E50CF4"/>
    <w:rsid w:val="00E56042"/>
    <w:rsid w:val="00E5663B"/>
    <w:rsid w:val="00E83DCD"/>
    <w:rsid w:val="00E851F3"/>
    <w:rsid w:val="00E94E77"/>
    <w:rsid w:val="00EB1115"/>
    <w:rsid w:val="00EC08FB"/>
    <w:rsid w:val="00EC3750"/>
    <w:rsid w:val="00EC5D00"/>
    <w:rsid w:val="00EC7B90"/>
    <w:rsid w:val="00ED76D1"/>
    <w:rsid w:val="00EF7A26"/>
    <w:rsid w:val="00F2061A"/>
    <w:rsid w:val="00F25061"/>
    <w:rsid w:val="00F26C8F"/>
    <w:rsid w:val="00F365F7"/>
    <w:rsid w:val="00F44DEF"/>
    <w:rsid w:val="00F510ED"/>
    <w:rsid w:val="00F6015F"/>
    <w:rsid w:val="00F61FB1"/>
    <w:rsid w:val="00F63B16"/>
    <w:rsid w:val="00F675ED"/>
    <w:rsid w:val="00F70CD8"/>
    <w:rsid w:val="00F82FE6"/>
    <w:rsid w:val="00F86763"/>
    <w:rsid w:val="00F96579"/>
    <w:rsid w:val="00F96B4B"/>
    <w:rsid w:val="00FC3DD6"/>
    <w:rsid w:val="00FC533B"/>
    <w:rsid w:val="00FD5D85"/>
    <w:rsid w:val="00FE3E99"/>
    <w:rsid w:val="00FE7C9E"/>
    <w:rsid w:val="00FF1557"/>
    <w:rsid w:val="00FF65C2"/>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B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6B53"/>
    <w:pPr>
      <w:outlineLvl w:val="9"/>
    </w:pPr>
    <w:rPr>
      <w:lang w:val="en-US"/>
    </w:rPr>
  </w:style>
  <w:style w:type="paragraph" w:styleId="BalloonText">
    <w:name w:val="Balloon Text"/>
    <w:basedOn w:val="Normal"/>
    <w:link w:val="BalloonTextChar"/>
    <w:uiPriority w:val="99"/>
    <w:semiHidden/>
    <w:unhideWhenUsed/>
    <w:rsid w:val="00AD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53"/>
    <w:rPr>
      <w:rFonts w:ascii="Tahoma" w:hAnsi="Tahoma" w:cs="Tahoma"/>
      <w:sz w:val="16"/>
      <w:szCs w:val="16"/>
    </w:rPr>
  </w:style>
  <w:style w:type="paragraph" w:styleId="TOC1">
    <w:name w:val="toc 1"/>
    <w:basedOn w:val="Normal"/>
    <w:next w:val="Normal"/>
    <w:autoRedefine/>
    <w:uiPriority w:val="39"/>
    <w:unhideWhenUsed/>
    <w:rsid w:val="00AD6B53"/>
    <w:pPr>
      <w:spacing w:after="100"/>
    </w:pPr>
  </w:style>
  <w:style w:type="character" w:styleId="Hyperlink">
    <w:name w:val="Hyperlink"/>
    <w:basedOn w:val="DefaultParagraphFont"/>
    <w:uiPriority w:val="99"/>
    <w:unhideWhenUsed/>
    <w:rsid w:val="00AD6B53"/>
    <w:rPr>
      <w:color w:val="0000FF" w:themeColor="hyperlink"/>
      <w:u w:val="single"/>
    </w:rPr>
  </w:style>
  <w:style w:type="paragraph" w:styleId="Header">
    <w:name w:val="header"/>
    <w:basedOn w:val="Normal"/>
    <w:link w:val="HeaderChar"/>
    <w:uiPriority w:val="99"/>
    <w:unhideWhenUsed/>
    <w:rsid w:val="00AD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53"/>
  </w:style>
  <w:style w:type="paragraph" w:styleId="Footer">
    <w:name w:val="footer"/>
    <w:basedOn w:val="Normal"/>
    <w:link w:val="FooterChar"/>
    <w:uiPriority w:val="99"/>
    <w:unhideWhenUsed/>
    <w:rsid w:val="00AD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53"/>
  </w:style>
  <w:style w:type="character" w:customStyle="1" w:styleId="Heading2Char">
    <w:name w:val="Heading 2 Char"/>
    <w:basedOn w:val="DefaultParagraphFont"/>
    <w:link w:val="Heading2"/>
    <w:uiPriority w:val="9"/>
    <w:rsid w:val="00AD6B5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6B53"/>
    <w:pPr>
      <w:spacing w:after="100"/>
      <w:ind w:left="220"/>
    </w:pPr>
  </w:style>
  <w:style w:type="paragraph" w:styleId="ListParagraph">
    <w:name w:val="List Paragraph"/>
    <w:basedOn w:val="Normal"/>
    <w:uiPriority w:val="34"/>
    <w:qFormat/>
    <w:rsid w:val="00D57E05"/>
    <w:pPr>
      <w:ind w:left="720"/>
      <w:contextualSpacing/>
    </w:pPr>
    <w:rPr>
      <w:rFonts w:ascii="Calibri" w:eastAsia="Times New Roman" w:hAnsi="Calibri" w:cs="Times New Roman"/>
      <w:lang w:val="en-US"/>
    </w:rPr>
  </w:style>
  <w:style w:type="table" w:styleId="TableGrid">
    <w:name w:val="Table Grid"/>
    <w:basedOn w:val="TableNormal"/>
    <w:uiPriority w:val="59"/>
    <w:rsid w:val="00BF59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3F20"/>
    <w:rPr>
      <w:sz w:val="16"/>
      <w:szCs w:val="16"/>
    </w:rPr>
  </w:style>
  <w:style w:type="paragraph" w:styleId="CommentText">
    <w:name w:val="annotation text"/>
    <w:basedOn w:val="Normal"/>
    <w:link w:val="CommentTextChar"/>
    <w:uiPriority w:val="99"/>
    <w:semiHidden/>
    <w:unhideWhenUsed/>
    <w:rsid w:val="007E3F20"/>
    <w:pPr>
      <w:spacing w:line="240" w:lineRule="auto"/>
    </w:pPr>
    <w:rPr>
      <w:sz w:val="20"/>
      <w:szCs w:val="20"/>
    </w:rPr>
  </w:style>
  <w:style w:type="character" w:customStyle="1" w:styleId="CommentTextChar">
    <w:name w:val="Comment Text Char"/>
    <w:basedOn w:val="DefaultParagraphFont"/>
    <w:link w:val="CommentText"/>
    <w:uiPriority w:val="99"/>
    <w:semiHidden/>
    <w:rsid w:val="007E3F20"/>
    <w:rPr>
      <w:sz w:val="20"/>
      <w:szCs w:val="20"/>
    </w:rPr>
  </w:style>
  <w:style w:type="paragraph" w:styleId="CommentSubject">
    <w:name w:val="annotation subject"/>
    <w:basedOn w:val="CommentText"/>
    <w:next w:val="CommentText"/>
    <w:link w:val="CommentSubjectChar"/>
    <w:uiPriority w:val="99"/>
    <w:semiHidden/>
    <w:unhideWhenUsed/>
    <w:rsid w:val="007E3F20"/>
    <w:rPr>
      <w:b/>
      <w:bCs/>
    </w:rPr>
  </w:style>
  <w:style w:type="character" w:customStyle="1" w:styleId="CommentSubjectChar">
    <w:name w:val="Comment Subject Char"/>
    <w:basedOn w:val="CommentTextChar"/>
    <w:link w:val="CommentSubject"/>
    <w:uiPriority w:val="99"/>
    <w:semiHidden/>
    <w:rsid w:val="007E3F20"/>
    <w:rPr>
      <w:b/>
      <w:bCs/>
      <w:sz w:val="20"/>
      <w:szCs w:val="20"/>
    </w:rPr>
  </w:style>
  <w:style w:type="paragraph" w:styleId="FootnoteText">
    <w:name w:val="footnote text"/>
    <w:basedOn w:val="Normal"/>
    <w:link w:val="FootnoteTextChar"/>
    <w:uiPriority w:val="99"/>
    <w:semiHidden/>
    <w:unhideWhenUsed/>
    <w:rsid w:val="0025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C6F"/>
    <w:rPr>
      <w:sz w:val="20"/>
      <w:szCs w:val="20"/>
    </w:rPr>
  </w:style>
  <w:style w:type="character" w:styleId="FootnoteReference">
    <w:name w:val="footnote reference"/>
    <w:basedOn w:val="DefaultParagraphFont"/>
    <w:uiPriority w:val="99"/>
    <w:semiHidden/>
    <w:unhideWhenUsed/>
    <w:rsid w:val="00250C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B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6B53"/>
    <w:pPr>
      <w:outlineLvl w:val="9"/>
    </w:pPr>
    <w:rPr>
      <w:lang w:val="en-US"/>
    </w:rPr>
  </w:style>
  <w:style w:type="paragraph" w:styleId="BalloonText">
    <w:name w:val="Balloon Text"/>
    <w:basedOn w:val="Normal"/>
    <w:link w:val="BalloonTextChar"/>
    <w:uiPriority w:val="99"/>
    <w:semiHidden/>
    <w:unhideWhenUsed/>
    <w:rsid w:val="00AD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53"/>
    <w:rPr>
      <w:rFonts w:ascii="Tahoma" w:hAnsi="Tahoma" w:cs="Tahoma"/>
      <w:sz w:val="16"/>
      <w:szCs w:val="16"/>
    </w:rPr>
  </w:style>
  <w:style w:type="paragraph" w:styleId="TOC1">
    <w:name w:val="toc 1"/>
    <w:basedOn w:val="Normal"/>
    <w:next w:val="Normal"/>
    <w:autoRedefine/>
    <w:uiPriority w:val="39"/>
    <w:unhideWhenUsed/>
    <w:rsid w:val="00AD6B53"/>
    <w:pPr>
      <w:spacing w:after="100"/>
    </w:pPr>
  </w:style>
  <w:style w:type="character" w:styleId="Hyperlink">
    <w:name w:val="Hyperlink"/>
    <w:basedOn w:val="DefaultParagraphFont"/>
    <w:uiPriority w:val="99"/>
    <w:unhideWhenUsed/>
    <w:rsid w:val="00AD6B53"/>
    <w:rPr>
      <w:color w:val="0000FF" w:themeColor="hyperlink"/>
      <w:u w:val="single"/>
    </w:rPr>
  </w:style>
  <w:style w:type="paragraph" w:styleId="Header">
    <w:name w:val="header"/>
    <w:basedOn w:val="Normal"/>
    <w:link w:val="HeaderChar"/>
    <w:uiPriority w:val="99"/>
    <w:unhideWhenUsed/>
    <w:rsid w:val="00AD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53"/>
  </w:style>
  <w:style w:type="paragraph" w:styleId="Footer">
    <w:name w:val="footer"/>
    <w:basedOn w:val="Normal"/>
    <w:link w:val="FooterChar"/>
    <w:uiPriority w:val="99"/>
    <w:unhideWhenUsed/>
    <w:rsid w:val="00AD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53"/>
  </w:style>
  <w:style w:type="character" w:customStyle="1" w:styleId="Heading2Char">
    <w:name w:val="Heading 2 Char"/>
    <w:basedOn w:val="DefaultParagraphFont"/>
    <w:link w:val="Heading2"/>
    <w:uiPriority w:val="9"/>
    <w:rsid w:val="00AD6B5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6B53"/>
    <w:pPr>
      <w:spacing w:after="100"/>
      <w:ind w:left="220"/>
    </w:pPr>
  </w:style>
  <w:style w:type="paragraph" w:styleId="ListParagraph">
    <w:name w:val="List Paragraph"/>
    <w:basedOn w:val="Normal"/>
    <w:uiPriority w:val="34"/>
    <w:qFormat/>
    <w:rsid w:val="00D57E05"/>
    <w:pPr>
      <w:ind w:left="720"/>
      <w:contextualSpacing/>
    </w:pPr>
    <w:rPr>
      <w:rFonts w:ascii="Calibri" w:eastAsia="Times New Roman" w:hAnsi="Calibri" w:cs="Times New Roman"/>
      <w:lang w:val="en-US"/>
    </w:rPr>
  </w:style>
  <w:style w:type="table" w:styleId="TableGrid">
    <w:name w:val="Table Grid"/>
    <w:basedOn w:val="TableNormal"/>
    <w:uiPriority w:val="59"/>
    <w:rsid w:val="00BF59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3F20"/>
    <w:rPr>
      <w:sz w:val="16"/>
      <w:szCs w:val="16"/>
    </w:rPr>
  </w:style>
  <w:style w:type="paragraph" w:styleId="CommentText">
    <w:name w:val="annotation text"/>
    <w:basedOn w:val="Normal"/>
    <w:link w:val="CommentTextChar"/>
    <w:uiPriority w:val="99"/>
    <w:semiHidden/>
    <w:unhideWhenUsed/>
    <w:rsid w:val="007E3F20"/>
    <w:pPr>
      <w:spacing w:line="240" w:lineRule="auto"/>
    </w:pPr>
    <w:rPr>
      <w:sz w:val="20"/>
      <w:szCs w:val="20"/>
    </w:rPr>
  </w:style>
  <w:style w:type="character" w:customStyle="1" w:styleId="CommentTextChar">
    <w:name w:val="Comment Text Char"/>
    <w:basedOn w:val="DefaultParagraphFont"/>
    <w:link w:val="CommentText"/>
    <w:uiPriority w:val="99"/>
    <w:semiHidden/>
    <w:rsid w:val="007E3F20"/>
    <w:rPr>
      <w:sz w:val="20"/>
      <w:szCs w:val="20"/>
    </w:rPr>
  </w:style>
  <w:style w:type="paragraph" w:styleId="CommentSubject">
    <w:name w:val="annotation subject"/>
    <w:basedOn w:val="CommentText"/>
    <w:next w:val="CommentText"/>
    <w:link w:val="CommentSubjectChar"/>
    <w:uiPriority w:val="99"/>
    <w:semiHidden/>
    <w:unhideWhenUsed/>
    <w:rsid w:val="007E3F20"/>
    <w:rPr>
      <w:b/>
      <w:bCs/>
    </w:rPr>
  </w:style>
  <w:style w:type="character" w:customStyle="1" w:styleId="CommentSubjectChar">
    <w:name w:val="Comment Subject Char"/>
    <w:basedOn w:val="CommentTextChar"/>
    <w:link w:val="CommentSubject"/>
    <w:uiPriority w:val="99"/>
    <w:semiHidden/>
    <w:rsid w:val="007E3F20"/>
    <w:rPr>
      <w:b/>
      <w:bCs/>
      <w:sz w:val="20"/>
      <w:szCs w:val="20"/>
    </w:rPr>
  </w:style>
  <w:style w:type="paragraph" w:styleId="FootnoteText">
    <w:name w:val="footnote text"/>
    <w:basedOn w:val="Normal"/>
    <w:link w:val="FootnoteTextChar"/>
    <w:uiPriority w:val="99"/>
    <w:semiHidden/>
    <w:unhideWhenUsed/>
    <w:rsid w:val="0025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C6F"/>
    <w:rPr>
      <w:sz w:val="20"/>
      <w:szCs w:val="20"/>
    </w:rPr>
  </w:style>
  <w:style w:type="character" w:styleId="FootnoteReference">
    <w:name w:val="footnote reference"/>
    <w:basedOn w:val="DefaultParagraphFont"/>
    <w:uiPriority w:val="99"/>
    <w:semiHidden/>
    <w:unhideWhenUsed/>
    <w:rsid w:val="00250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747">
      <w:bodyDiv w:val="1"/>
      <w:marLeft w:val="0"/>
      <w:marRight w:val="0"/>
      <w:marTop w:val="0"/>
      <w:marBottom w:val="0"/>
      <w:divBdr>
        <w:top w:val="none" w:sz="0" w:space="0" w:color="auto"/>
        <w:left w:val="none" w:sz="0" w:space="0" w:color="auto"/>
        <w:bottom w:val="none" w:sz="0" w:space="0" w:color="auto"/>
        <w:right w:val="none" w:sz="0" w:space="0" w:color="auto"/>
      </w:divBdr>
    </w:div>
    <w:div w:id="1543517040">
      <w:bodyDiv w:val="1"/>
      <w:marLeft w:val="0"/>
      <w:marRight w:val="0"/>
      <w:marTop w:val="0"/>
      <w:marBottom w:val="0"/>
      <w:divBdr>
        <w:top w:val="none" w:sz="0" w:space="0" w:color="auto"/>
        <w:left w:val="none" w:sz="0" w:space="0" w:color="auto"/>
        <w:bottom w:val="none" w:sz="0" w:space="0" w:color="auto"/>
        <w:right w:val="none" w:sz="0" w:space="0" w:color="auto"/>
      </w:divBdr>
    </w:div>
    <w:div w:id="20340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6b776dc0-73c8-49cc-a8c8-19ee3050bac2</TermId>
        </TermInfo>
      </Terms>
    </j3dcd20625fb4e509c8810f6c12f130a>
    <TaxCatchAll xmlns="f2722de8-a3c4-44f7-809c-5aae864989b7">
      <Value>6194</Value>
      <Value>126</Value>
      <Value>6216</Value>
    </TaxCatchAll>
    <Date1 xmlns="f2722de8-a3c4-44f7-809c-5aae864989b7">2012-11-06T00:00:00+00:00</Date1>
    <n0931430ca494154b9c352ba38783a91 xmlns="f2722de8-a3c4-44f7-809c-5aae864989b7">
      <Terms xmlns="http://schemas.microsoft.com/office/infopath/2007/PartnerControls">
        <TermInfo xmlns="http://schemas.microsoft.com/office/infopath/2007/PartnerControls">
          <TermName>Report (rpt)</TermName>
          <TermId>1a6bc156-443a-4768-9939-a771b613ebe4</TermId>
        </TermInfo>
      </Terms>
    </n0931430ca494154b9c352ba38783a91>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Electromagnetic Fields Directive</TermName>
          <TermId xmlns="http://schemas.microsoft.com/office/infopath/2007/PartnerControls">178eba00-2e39-4172-bf58-dfea48d6d675</TermId>
        </TermInfo>
      </Terms>
    </l0439d673390432c8f4760c5a455ac93>
    <_dlc_DocIdPersistId xmlns="f2722de8-a3c4-44f7-809c-5aae864989b7">false</_dlc_DocIdPersistId>
    <_dlc_DocId xmlns="f2722de8-a3c4-44f7-809c-5aae864989b7">RVSECDK7SQEP-336-1075</_dlc_DocId>
    <_dlc_DocIdUrl xmlns="f2722de8-a3c4-44f7-809c-5aae864989b7">
      <Url>http://shareflow/HSA/ministerial/_layouts/DocIdRedir.aspx?ID=RVSECDK7SQEP-336-1075</Url>
      <Description>RVSECDK7SQEP-336-1075</Description>
    </_dlc_DocIdUrl>
    <PublishingExpirationDate xmlns="http://schemas.microsoft.com/sharepoint/v3" xsi:nil="true"/>
    <PublishingStartDate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SA Document" ma:contentTypeID="0x010100F1BA95422BE1A64DA19DE90A58AEB60200A7B821A46E663943B85DED1FFF393FF6" ma:contentTypeVersion="50" ma:contentTypeDescription="HSA Document - base content type all document in ShareFlow must inherit from." ma:contentTypeScope="" ma:versionID="c213841b28c5a61ebdc87a43f4464c53">
  <xsd:schema xmlns:xsd="http://www.w3.org/2001/XMLSchema" xmlns:xs="http://www.w3.org/2001/XMLSchema" xmlns:p="http://schemas.microsoft.com/office/2006/metadata/properties" xmlns:ns1="http://schemas.microsoft.com/sharepoint/v3" xmlns:ns2="f2722de8-a3c4-44f7-809c-5aae864989b7" xmlns:ns4="http://schemas.microsoft.com/sharepoint/v4" targetNamespace="http://schemas.microsoft.com/office/2006/metadata/properties" ma:root="true" ma:fieldsID="99fa4d536f454edd3ab7fc64dba0194d" ns1:_="" ns2:_="" ns4:_="">
    <xsd:import namespace="http://schemas.microsoft.com/sharepoint/v3"/>
    <xsd:import namespace="f2722de8-a3c4-44f7-809c-5aae864989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65387780-08ef-49b1-832f-62c194b3343b"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6194;#2015|6b776dc0-73c8-49cc-a8c8-19ee3050bac2"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04FB-965D-4B7E-A5F7-D7E5E87FEC56}">
  <ds:schemaRefs>
    <ds:schemaRef ds:uri="http://schemas.microsoft.com/office/2006/metadata/customXsn"/>
  </ds:schemaRefs>
</ds:datastoreItem>
</file>

<file path=customXml/itemProps2.xml><?xml version="1.0" encoding="utf-8"?>
<ds:datastoreItem xmlns:ds="http://schemas.openxmlformats.org/officeDocument/2006/customXml" ds:itemID="{1EEF91CB-D4C6-4661-BA65-AACC3D717D0E}">
  <ds:schemaRefs>
    <ds:schemaRef ds:uri="http://schemas.microsoft.com/sharepoint/events"/>
  </ds:schemaRefs>
</ds:datastoreItem>
</file>

<file path=customXml/itemProps3.xml><?xml version="1.0" encoding="utf-8"?>
<ds:datastoreItem xmlns:ds="http://schemas.openxmlformats.org/officeDocument/2006/customXml" ds:itemID="{A8B6CFAD-A71C-4C3C-BB42-4B5BA7616895}">
  <ds:schemaRef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f2722de8-a3c4-44f7-809c-5aae864989b7"/>
    <ds:schemaRef ds:uri="http://schemas.microsoft.com/office/infopath/2007/PartnerControls"/>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D523300-1E6E-4DCA-B227-DCE315A8F386}">
  <ds:schemaRefs>
    <ds:schemaRef ds:uri="http://schemas.microsoft.com/sharepoint/v3/contenttype/forms"/>
  </ds:schemaRefs>
</ds:datastoreItem>
</file>

<file path=customXml/itemProps5.xml><?xml version="1.0" encoding="utf-8"?>
<ds:datastoreItem xmlns:ds="http://schemas.openxmlformats.org/officeDocument/2006/customXml" ds:itemID="{8073F08A-7893-4089-B557-780B0CEA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BA54A8-3242-4AC7-A9D7-C119387C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riasharpsdirective</vt:lpstr>
    </vt:vector>
  </TitlesOfParts>
  <Company>HSA</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riasharpsdirective</dc:title>
  <dc:creator>Kieran Sludds</dc:creator>
  <cp:lastModifiedBy>Michael Walsh</cp:lastModifiedBy>
  <cp:revision>2</cp:revision>
  <cp:lastPrinted>2015-01-06T10:36:00Z</cp:lastPrinted>
  <dcterms:created xsi:type="dcterms:W3CDTF">2015-05-20T12:15:00Z</dcterms:created>
  <dcterms:modified xsi:type="dcterms:W3CDTF">2015-05-20T12:15:00Z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0x010100F1BA95422BE1A64DA19DE90A58AEB60200A7B821A46E663943B85DED1FFF393FF6</vt:lpwstr>
  </property>
  <property fmtid="{D5CDD505-2E9C-101B-9397-08002B2CF9AE}" pid="3" name="Year">
    <vt:lpwstr>6194;#2015|6b776dc0-73c8-49cc-a8c8-19ee3050bac2</vt:lpwstr>
  </property>
  <property fmtid="{D5CDD505-2E9C-101B-9397-08002B2CF9AE}" pid="4" name="Record_x0020_Type">
    <vt:lpwstr>126;#Report (rpt)|1a6bc156-443a-4768-9939-a771b613ebe4</vt:lpwstr>
  </property>
  <property fmtid="{D5CDD505-2E9C-101B-9397-08002B2CF9AE}" pid="5" name="Classification_x0020_Scheme">
    <vt:lpwstr>1172;#Sharps Regulations|6b2ad83d-3dfb-4c30-b1c2-320737f7ccf9</vt:lpwstr>
  </property>
  <property fmtid="{D5CDD505-2E9C-101B-9397-08002B2CF9AE}" pid="6" name="Record Type">
    <vt:lpwstr>126;#Report (rpt)|1a6bc156-443a-4768-9939-a771b613ebe4</vt:lpwstr>
  </property>
  <property fmtid="{D5CDD505-2E9C-101B-9397-08002B2CF9AE}" pid="7" name="Classification Scheme">
    <vt:lpwstr>6216;#Electromagnetic Fields Directive|178eba00-2e39-4172-bf58-dfea48d6d675</vt:lpwstr>
  </property>
  <property fmtid="{D5CDD505-2E9C-101B-9397-08002B2CF9AE}" pid="8" name="_dlc_DocIdItemGuid">
    <vt:lpwstr>0c224ae9-9234-4570-90b0-67e3b4a2e96c</vt:lpwstr>
  </property>
  <property fmtid="{D5CDD505-2E9C-101B-9397-08002B2CF9AE}" pid="9" name="Order">
    <vt:r8>2159400</vt:r8>
  </property>
</Properties>
</file>